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147A4">
      <w:pPr>
        <w:rPr>
          <w:rFonts w:hint="eastAsia"/>
          <w:sz w:val="30"/>
          <w:szCs w:val="30"/>
          <w:lang w:val="en-US" w:eastAsia="zh-CN"/>
        </w:rPr>
      </w:pPr>
      <w:r>
        <w:rPr>
          <w:rFonts w:hint="eastAsia"/>
          <w:sz w:val="30"/>
          <w:szCs w:val="30"/>
          <w:lang w:val="en-US" w:eastAsia="zh-CN"/>
        </w:rPr>
        <w:t>附件</w:t>
      </w:r>
    </w:p>
    <w:p w14:paraId="363FC94F">
      <w:pPr>
        <w:rPr>
          <w:rFonts w:hint="default" w:ascii="新宋体" w:hAnsi="新宋体" w:eastAsia="新宋体" w:cs="Times New Roman"/>
          <w:b/>
          <w:kern w:val="2"/>
          <w:sz w:val="28"/>
          <w:szCs w:val="28"/>
          <w:lang w:val="en-US" w:eastAsia="zh-CN" w:bidi="ar-SA"/>
        </w:rPr>
      </w:pPr>
      <w:bookmarkStart w:id="0" w:name="_GoBack"/>
      <w:r>
        <w:rPr>
          <w:rFonts w:hint="eastAsia" w:ascii="新宋体" w:hAnsi="新宋体" w:eastAsia="新宋体" w:cs="Times New Roman"/>
          <w:b/>
          <w:kern w:val="2"/>
          <w:sz w:val="28"/>
          <w:szCs w:val="28"/>
          <w:lang w:val="en-US" w:eastAsia="zh-CN" w:bidi="ar-SA"/>
        </w:rPr>
        <w:t>血透室纯水机内置材料更换服务要求</w:t>
      </w:r>
    </w:p>
    <w:bookmarkEnd w:id="0"/>
    <w:p w14:paraId="7177AC3E">
      <w:pPr>
        <w:pStyle w:val="9"/>
        <w:numPr>
          <w:ilvl w:val="0"/>
          <w:numId w:val="1"/>
        </w:numPr>
        <w:spacing w:line="360" w:lineRule="auto"/>
        <w:ind w:firstLineChars="0"/>
        <w:rPr>
          <w:rFonts w:ascii="新宋体" w:hAnsi="新宋体" w:eastAsia="新宋体"/>
          <w:b/>
          <w:sz w:val="28"/>
          <w:szCs w:val="28"/>
        </w:rPr>
      </w:pPr>
      <w:r>
        <w:rPr>
          <w:rFonts w:hint="eastAsia" w:ascii="新宋体" w:hAnsi="新宋体" w:eastAsia="新宋体"/>
          <w:b/>
          <w:sz w:val="28"/>
          <w:szCs w:val="28"/>
        </w:rPr>
        <w:t>材料清单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994"/>
        <w:gridCol w:w="1894"/>
        <w:gridCol w:w="2069"/>
      </w:tblGrid>
      <w:tr w14:paraId="30F3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14:paraId="603D4D8D">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序号</w:t>
            </w:r>
          </w:p>
        </w:tc>
        <w:tc>
          <w:tcPr>
            <w:tcW w:w="3124" w:type="dxa"/>
            <w:vAlign w:val="center"/>
          </w:tcPr>
          <w:p w14:paraId="53A417ED">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名称</w:t>
            </w:r>
          </w:p>
        </w:tc>
        <w:tc>
          <w:tcPr>
            <w:tcW w:w="1966" w:type="dxa"/>
            <w:vAlign w:val="center"/>
          </w:tcPr>
          <w:p w14:paraId="5FDE0376">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单位</w:t>
            </w:r>
          </w:p>
        </w:tc>
        <w:tc>
          <w:tcPr>
            <w:tcW w:w="2142" w:type="dxa"/>
            <w:vAlign w:val="center"/>
          </w:tcPr>
          <w:p w14:paraId="494853DA">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数量</w:t>
            </w:r>
          </w:p>
        </w:tc>
      </w:tr>
      <w:tr w14:paraId="63DF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14:paraId="0F38E6C1">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1</w:t>
            </w:r>
          </w:p>
        </w:tc>
        <w:tc>
          <w:tcPr>
            <w:tcW w:w="3124" w:type="dxa"/>
            <w:vAlign w:val="center"/>
          </w:tcPr>
          <w:p w14:paraId="2A575E4B">
            <w:pPr>
              <w:widowControl w:val="0"/>
              <w:spacing w:after="0" w:line="240" w:lineRule="auto"/>
              <w:jc w:val="left"/>
              <w:rPr>
                <w:rFonts w:ascii="新宋体" w:hAnsi="新宋体" w:eastAsia="新宋体" w:cs="Times New Roman"/>
                <w:spacing w:val="8"/>
                <w:sz w:val="28"/>
                <w:szCs w:val="28"/>
              </w:rPr>
            </w:pPr>
            <w:r>
              <w:rPr>
                <w:rFonts w:hint="eastAsia" w:ascii="新宋体" w:hAnsi="新宋体" w:eastAsia="新宋体" w:cs="宋体"/>
                <w:spacing w:val="8"/>
                <w:sz w:val="28"/>
                <w:szCs w:val="28"/>
              </w:rPr>
              <w:t>石英砂</w:t>
            </w:r>
          </w:p>
        </w:tc>
        <w:tc>
          <w:tcPr>
            <w:tcW w:w="1966" w:type="dxa"/>
            <w:vAlign w:val="center"/>
          </w:tcPr>
          <w:p w14:paraId="271D9EFA">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Kg</w:t>
            </w:r>
          </w:p>
        </w:tc>
        <w:tc>
          <w:tcPr>
            <w:tcW w:w="2142" w:type="dxa"/>
            <w:vAlign w:val="center"/>
          </w:tcPr>
          <w:p w14:paraId="7CA8B170">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500</w:t>
            </w:r>
          </w:p>
        </w:tc>
      </w:tr>
      <w:tr w14:paraId="4B5F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14:paraId="38F98E79">
            <w:pPr>
              <w:widowControl w:val="0"/>
              <w:spacing w:after="0" w:line="240" w:lineRule="auto"/>
              <w:jc w:val="center"/>
              <w:rPr>
                <w:rFonts w:ascii="新宋体" w:hAnsi="新宋体" w:eastAsia="新宋体" w:cs="宋体"/>
                <w:spacing w:val="8"/>
                <w:sz w:val="28"/>
                <w:szCs w:val="28"/>
              </w:rPr>
            </w:pPr>
            <w:r>
              <w:rPr>
                <w:rFonts w:hint="eastAsia" w:ascii="新宋体" w:hAnsi="新宋体" w:eastAsia="新宋体" w:cs="宋体"/>
                <w:spacing w:val="8"/>
                <w:sz w:val="28"/>
                <w:szCs w:val="28"/>
              </w:rPr>
              <w:t>2</w:t>
            </w:r>
          </w:p>
        </w:tc>
        <w:tc>
          <w:tcPr>
            <w:tcW w:w="3124" w:type="dxa"/>
            <w:vAlign w:val="center"/>
          </w:tcPr>
          <w:p w14:paraId="71578419">
            <w:pPr>
              <w:widowControl w:val="0"/>
              <w:spacing w:after="0" w:line="240" w:lineRule="auto"/>
              <w:jc w:val="left"/>
              <w:rPr>
                <w:rFonts w:ascii="新宋体" w:hAnsi="新宋体" w:eastAsia="新宋体" w:cs="宋体"/>
                <w:spacing w:val="8"/>
                <w:sz w:val="28"/>
                <w:szCs w:val="28"/>
              </w:rPr>
            </w:pPr>
            <w:r>
              <w:rPr>
                <w:rFonts w:hint="eastAsia" w:ascii="新宋体" w:hAnsi="新宋体" w:eastAsia="新宋体" w:cs="宋体"/>
                <w:spacing w:val="8"/>
                <w:sz w:val="28"/>
                <w:szCs w:val="28"/>
              </w:rPr>
              <w:t>锰砂</w:t>
            </w:r>
          </w:p>
        </w:tc>
        <w:tc>
          <w:tcPr>
            <w:tcW w:w="1966" w:type="dxa"/>
            <w:vAlign w:val="center"/>
          </w:tcPr>
          <w:p w14:paraId="7DD8FA2E">
            <w:pPr>
              <w:widowControl w:val="0"/>
              <w:spacing w:after="0" w:line="240" w:lineRule="auto"/>
              <w:jc w:val="center"/>
              <w:rPr>
                <w:rFonts w:ascii="新宋体" w:hAnsi="新宋体" w:eastAsia="新宋体" w:cs="宋体"/>
                <w:spacing w:val="8"/>
                <w:sz w:val="28"/>
                <w:szCs w:val="28"/>
              </w:rPr>
            </w:pPr>
            <w:r>
              <w:rPr>
                <w:rFonts w:hint="eastAsia" w:ascii="新宋体" w:hAnsi="新宋体" w:eastAsia="新宋体" w:cs="宋体"/>
                <w:spacing w:val="8"/>
                <w:sz w:val="28"/>
                <w:szCs w:val="28"/>
              </w:rPr>
              <w:t>Kg</w:t>
            </w:r>
          </w:p>
        </w:tc>
        <w:tc>
          <w:tcPr>
            <w:tcW w:w="2142" w:type="dxa"/>
            <w:vAlign w:val="center"/>
          </w:tcPr>
          <w:p w14:paraId="04E5C261">
            <w:pPr>
              <w:widowControl w:val="0"/>
              <w:spacing w:after="0" w:line="240" w:lineRule="auto"/>
              <w:jc w:val="center"/>
              <w:rPr>
                <w:rFonts w:ascii="新宋体" w:hAnsi="新宋体" w:eastAsia="新宋体" w:cs="宋体"/>
                <w:spacing w:val="8"/>
                <w:sz w:val="28"/>
                <w:szCs w:val="28"/>
              </w:rPr>
            </w:pPr>
            <w:r>
              <w:rPr>
                <w:rFonts w:hint="eastAsia" w:ascii="新宋体" w:hAnsi="新宋体" w:eastAsia="新宋体" w:cs="宋体"/>
                <w:spacing w:val="8"/>
                <w:sz w:val="28"/>
                <w:szCs w:val="28"/>
              </w:rPr>
              <w:t>100</w:t>
            </w:r>
          </w:p>
        </w:tc>
      </w:tr>
      <w:tr w14:paraId="613D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14:paraId="6E28B89D">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3</w:t>
            </w:r>
          </w:p>
        </w:tc>
        <w:tc>
          <w:tcPr>
            <w:tcW w:w="3124" w:type="dxa"/>
            <w:vAlign w:val="center"/>
          </w:tcPr>
          <w:p w14:paraId="674CF3D4">
            <w:pPr>
              <w:widowControl w:val="0"/>
              <w:spacing w:after="0" w:line="240" w:lineRule="auto"/>
              <w:jc w:val="left"/>
              <w:rPr>
                <w:rFonts w:ascii="新宋体" w:hAnsi="新宋体" w:eastAsia="新宋体" w:cs="Times New Roman"/>
                <w:spacing w:val="8"/>
                <w:sz w:val="28"/>
                <w:szCs w:val="28"/>
              </w:rPr>
            </w:pPr>
            <w:r>
              <w:rPr>
                <w:rFonts w:hint="eastAsia" w:ascii="新宋体" w:hAnsi="新宋体" w:eastAsia="新宋体" w:cs="宋体"/>
                <w:spacing w:val="8"/>
                <w:sz w:val="28"/>
                <w:szCs w:val="28"/>
              </w:rPr>
              <w:t>椰壳活性炭</w:t>
            </w:r>
          </w:p>
        </w:tc>
        <w:tc>
          <w:tcPr>
            <w:tcW w:w="1966" w:type="dxa"/>
            <w:vAlign w:val="center"/>
          </w:tcPr>
          <w:p w14:paraId="6662F09D">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Kg</w:t>
            </w:r>
          </w:p>
        </w:tc>
        <w:tc>
          <w:tcPr>
            <w:tcW w:w="2142" w:type="dxa"/>
            <w:vAlign w:val="center"/>
          </w:tcPr>
          <w:p w14:paraId="3978933F">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250</w:t>
            </w:r>
          </w:p>
        </w:tc>
      </w:tr>
      <w:tr w14:paraId="450B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14:paraId="06EF5E3D">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4</w:t>
            </w:r>
          </w:p>
        </w:tc>
        <w:tc>
          <w:tcPr>
            <w:tcW w:w="3124" w:type="dxa"/>
            <w:vAlign w:val="center"/>
          </w:tcPr>
          <w:p w14:paraId="110450C6">
            <w:pPr>
              <w:widowControl w:val="0"/>
              <w:spacing w:after="0" w:line="240" w:lineRule="auto"/>
              <w:jc w:val="left"/>
              <w:rPr>
                <w:rFonts w:ascii="新宋体" w:hAnsi="新宋体" w:eastAsia="新宋体" w:cs="Times New Roman"/>
                <w:spacing w:val="8"/>
                <w:sz w:val="28"/>
                <w:szCs w:val="28"/>
              </w:rPr>
            </w:pPr>
            <w:r>
              <w:rPr>
                <w:rFonts w:hint="eastAsia" w:ascii="新宋体" w:hAnsi="新宋体" w:eastAsia="新宋体" w:cs="宋体"/>
                <w:spacing w:val="8"/>
                <w:sz w:val="28"/>
                <w:szCs w:val="28"/>
              </w:rPr>
              <w:t>阳树脂</w:t>
            </w:r>
          </w:p>
        </w:tc>
        <w:tc>
          <w:tcPr>
            <w:tcW w:w="1966" w:type="dxa"/>
            <w:vAlign w:val="center"/>
          </w:tcPr>
          <w:p w14:paraId="00739E1F">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Kg</w:t>
            </w:r>
          </w:p>
        </w:tc>
        <w:tc>
          <w:tcPr>
            <w:tcW w:w="2142" w:type="dxa"/>
            <w:vAlign w:val="center"/>
          </w:tcPr>
          <w:p w14:paraId="4C40EEF2">
            <w:pPr>
              <w:widowControl w:val="0"/>
              <w:spacing w:after="0" w:line="240" w:lineRule="auto"/>
              <w:jc w:val="center"/>
              <w:rPr>
                <w:rFonts w:hint="default" w:ascii="新宋体" w:hAnsi="新宋体" w:eastAsia="新宋体" w:cs="Times New Roman"/>
                <w:spacing w:val="8"/>
                <w:sz w:val="28"/>
                <w:szCs w:val="28"/>
                <w:lang w:val="en-US" w:eastAsia="zh-CN"/>
              </w:rPr>
            </w:pPr>
            <w:r>
              <w:rPr>
                <w:rFonts w:hint="eastAsia" w:ascii="新宋体" w:hAnsi="新宋体" w:eastAsia="新宋体" w:cs="宋体"/>
                <w:spacing w:val="8"/>
                <w:sz w:val="28"/>
                <w:szCs w:val="28"/>
                <w:lang w:val="en-US" w:eastAsia="zh-CN"/>
              </w:rPr>
              <w:t>300</w:t>
            </w:r>
          </w:p>
        </w:tc>
      </w:tr>
      <w:tr w14:paraId="0F5C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14:paraId="327F21AC">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5</w:t>
            </w:r>
          </w:p>
        </w:tc>
        <w:tc>
          <w:tcPr>
            <w:tcW w:w="3124" w:type="dxa"/>
            <w:vAlign w:val="center"/>
          </w:tcPr>
          <w:p w14:paraId="27C4AA67">
            <w:pPr>
              <w:widowControl w:val="0"/>
              <w:spacing w:after="0" w:line="240" w:lineRule="auto"/>
              <w:jc w:val="left"/>
              <w:rPr>
                <w:rFonts w:ascii="新宋体" w:hAnsi="新宋体" w:eastAsia="新宋体" w:cs="Times New Roman"/>
                <w:spacing w:val="8"/>
                <w:sz w:val="28"/>
                <w:szCs w:val="28"/>
              </w:rPr>
            </w:pPr>
            <w:r>
              <w:rPr>
                <w:rFonts w:hint="eastAsia" w:ascii="新宋体" w:hAnsi="新宋体" w:eastAsia="新宋体" w:cs="宋体"/>
                <w:spacing w:val="8"/>
                <w:sz w:val="28"/>
                <w:szCs w:val="28"/>
              </w:rPr>
              <w:t>反渗透膜</w:t>
            </w:r>
          </w:p>
        </w:tc>
        <w:tc>
          <w:tcPr>
            <w:tcW w:w="1966" w:type="dxa"/>
            <w:vAlign w:val="center"/>
          </w:tcPr>
          <w:p w14:paraId="26771E21">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只</w:t>
            </w:r>
          </w:p>
        </w:tc>
        <w:tc>
          <w:tcPr>
            <w:tcW w:w="2142" w:type="dxa"/>
            <w:vAlign w:val="center"/>
          </w:tcPr>
          <w:p w14:paraId="04F5BF2B">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7</w:t>
            </w:r>
          </w:p>
        </w:tc>
      </w:tr>
      <w:tr w14:paraId="19A0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14:paraId="67164050">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6</w:t>
            </w:r>
          </w:p>
        </w:tc>
        <w:tc>
          <w:tcPr>
            <w:tcW w:w="3124" w:type="dxa"/>
            <w:vAlign w:val="center"/>
          </w:tcPr>
          <w:p w14:paraId="352ACD6A">
            <w:pPr>
              <w:widowControl w:val="0"/>
              <w:spacing w:after="0" w:line="240" w:lineRule="auto"/>
              <w:jc w:val="left"/>
              <w:rPr>
                <w:rFonts w:ascii="新宋体" w:hAnsi="新宋体" w:eastAsia="新宋体" w:cs="Times New Roman"/>
                <w:spacing w:val="8"/>
                <w:sz w:val="28"/>
                <w:szCs w:val="28"/>
              </w:rPr>
            </w:pPr>
            <w:r>
              <w:rPr>
                <w:rFonts w:hint="eastAsia" w:ascii="新宋体" w:hAnsi="新宋体" w:eastAsia="新宋体" w:cs="宋体"/>
                <w:spacing w:val="8"/>
                <w:sz w:val="28"/>
                <w:szCs w:val="28"/>
              </w:rPr>
              <w:t>线芯</w:t>
            </w:r>
          </w:p>
        </w:tc>
        <w:tc>
          <w:tcPr>
            <w:tcW w:w="1966" w:type="dxa"/>
            <w:vAlign w:val="center"/>
          </w:tcPr>
          <w:p w14:paraId="340F3E7D">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支</w:t>
            </w:r>
          </w:p>
        </w:tc>
        <w:tc>
          <w:tcPr>
            <w:tcW w:w="2142" w:type="dxa"/>
            <w:vAlign w:val="center"/>
          </w:tcPr>
          <w:p w14:paraId="424ACCEF">
            <w:pPr>
              <w:widowControl w:val="0"/>
              <w:spacing w:after="0" w:line="240" w:lineRule="auto"/>
              <w:jc w:val="center"/>
              <w:rPr>
                <w:rFonts w:ascii="新宋体" w:hAnsi="新宋体" w:eastAsia="新宋体" w:cs="Times New Roman"/>
                <w:spacing w:val="8"/>
                <w:sz w:val="28"/>
                <w:szCs w:val="28"/>
              </w:rPr>
            </w:pPr>
            <w:r>
              <w:rPr>
                <w:rFonts w:hint="eastAsia" w:ascii="新宋体" w:hAnsi="新宋体" w:eastAsia="新宋体" w:cs="宋体"/>
                <w:spacing w:val="8"/>
                <w:sz w:val="28"/>
                <w:szCs w:val="28"/>
              </w:rPr>
              <w:t>5</w:t>
            </w:r>
          </w:p>
        </w:tc>
      </w:tr>
    </w:tbl>
    <w:p w14:paraId="3FBB86E0">
      <w:pPr>
        <w:pStyle w:val="9"/>
        <w:numPr>
          <w:ilvl w:val="0"/>
          <w:numId w:val="1"/>
        </w:numPr>
        <w:spacing w:line="360" w:lineRule="auto"/>
        <w:ind w:firstLineChars="0"/>
        <w:rPr>
          <w:rFonts w:ascii="新宋体" w:hAnsi="新宋体" w:eastAsia="新宋体"/>
          <w:b/>
          <w:sz w:val="28"/>
          <w:szCs w:val="28"/>
        </w:rPr>
      </w:pPr>
      <w:r>
        <w:rPr>
          <w:rFonts w:hint="eastAsia" w:ascii="新宋体" w:hAnsi="新宋体" w:eastAsia="新宋体"/>
          <w:b/>
          <w:sz w:val="28"/>
          <w:szCs w:val="28"/>
        </w:rPr>
        <w:t>技术要求</w:t>
      </w:r>
    </w:p>
    <w:p w14:paraId="08A30990">
      <w:pPr>
        <w:pStyle w:val="9"/>
        <w:numPr>
          <w:ilvl w:val="0"/>
          <w:numId w:val="2"/>
        </w:numPr>
        <w:ind w:firstLineChars="0"/>
        <w:rPr>
          <w:rFonts w:ascii="新宋体" w:hAnsi="新宋体" w:eastAsia="新宋体"/>
          <w:sz w:val="28"/>
          <w:szCs w:val="28"/>
        </w:rPr>
      </w:pPr>
      <w:r>
        <w:rPr>
          <w:rFonts w:hint="eastAsia" w:ascii="新宋体" w:hAnsi="新宋体" w:eastAsia="新宋体"/>
          <w:sz w:val="28"/>
          <w:szCs w:val="28"/>
        </w:rPr>
        <w:t>石英砂：粗砂6-8目,200Kg，细砂8-12目,300Kg。SiO</w:t>
      </w:r>
      <w:r>
        <w:rPr>
          <w:rFonts w:hint="eastAsia" w:ascii="新宋体" w:hAnsi="新宋体" w:eastAsia="新宋体"/>
          <w:sz w:val="28"/>
          <w:szCs w:val="28"/>
          <w:vertAlign w:val="subscript"/>
        </w:rPr>
        <w:t>2</w:t>
      </w:r>
      <w:r>
        <w:rPr>
          <w:rFonts w:hint="eastAsia" w:ascii="新宋体" w:hAnsi="新宋体" w:eastAsia="新宋体"/>
          <w:sz w:val="28"/>
          <w:szCs w:val="28"/>
        </w:rPr>
        <w:t>≥98.98%,提供产品检测报告和厂家资质。</w:t>
      </w:r>
    </w:p>
    <w:p w14:paraId="67559E16">
      <w:pPr>
        <w:pStyle w:val="9"/>
        <w:numPr>
          <w:ilvl w:val="0"/>
          <w:numId w:val="2"/>
        </w:numPr>
        <w:ind w:firstLineChars="0"/>
        <w:rPr>
          <w:rFonts w:ascii="新宋体" w:hAnsi="新宋体" w:eastAsia="新宋体"/>
          <w:sz w:val="28"/>
          <w:szCs w:val="28"/>
        </w:rPr>
      </w:pPr>
      <w:r>
        <w:rPr>
          <w:rFonts w:hint="eastAsia" w:ascii="新宋体" w:hAnsi="新宋体" w:eastAsia="新宋体"/>
          <w:sz w:val="28"/>
          <w:szCs w:val="28"/>
        </w:rPr>
        <w:t>锰砂：粒度 2-4MM，MnO</w:t>
      </w:r>
      <w:r>
        <w:rPr>
          <w:rFonts w:hint="eastAsia" w:ascii="新宋体" w:hAnsi="新宋体" w:eastAsia="新宋体"/>
          <w:sz w:val="28"/>
          <w:szCs w:val="28"/>
          <w:vertAlign w:val="subscript"/>
        </w:rPr>
        <w:t>2</w:t>
      </w:r>
      <w:r>
        <w:rPr>
          <w:rFonts w:hint="eastAsia" w:ascii="新宋体" w:hAnsi="新宋体" w:eastAsia="新宋体"/>
          <w:sz w:val="28"/>
          <w:szCs w:val="28"/>
        </w:rPr>
        <w:t>≥30.35%，提供产品检测报告和厂家资质。</w:t>
      </w:r>
    </w:p>
    <w:p w14:paraId="7E33E96A">
      <w:pPr>
        <w:pStyle w:val="9"/>
        <w:numPr>
          <w:ilvl w:val="0"/>
          <w:numId w:val="2"/>
        </w:numPr>
        <w:ind w:firstLineChars="0"/>
        <w:rPr>
          <w:rFonts w:ascii="新宋体" w:hAnsi="新宋体" w:eastAsia="新宋体"/>
          <w:sz w:val="28"/>
          <w:szCs w:val="28"/>
        </w:rPr>
      </w:pPr>
      <w:r>
        <w:rPr>
          <w:rFonts w:hint="eastAsia" w:ascii="新宋体" w:hAnsi="新宋体" w:eastAsia="新宋体"/>
          <w:sz w:val="28"/>
          <w:szCs w:val="28"/>
        </w:rPr>
        <w:t>椰壳活性炭：粒度8-24目，碘吸附值≥1200mg/g，提供厂家产品检测报告和资质。更换后运行2天不冲洗总氯＜0.1mg/L。</w:t>
      </w:r>
    </w:p>
    <w:p w14:paraId="26F4D6AE">
      <w:pPr>
        <w:pStyle w:val="9"/>
        <w:numPr>
          <w:ilvl w:val="0"/>
          <w:numId w:val="2"/>
        </w:numPr>
        <w:ind w:firstLineChars="0"/>
        <w:rPr>
          <w:rFonts w:ascii="新宋体" w:hAnsi="新宋体" w:eastAsia="新宋体"/>
          <w:sz w:val="28"/>
          <w:szCs w:val="28"/>
        </w:rPr>
      </w:pPr>
      <w:r>
        <w:rPr>
          <w:rFonts w:hint="eastAsia" w:ascii="新宋体" w:hAnsi="新宋体" w:eastAsia="新宋体"/>
          <w:sz w:val="28"/>
          <w:szCs w:val="28"/>
        </w:rPr>
        <w:t>阳树脂：食品级阳树脂，提供厂家产品检验报告。更换后运行2天不再生软水硬度＜17.1mg/L；</w:t>
      </w:r>
    </w:p>
    <w:p w14:paraId="39B1087D">
      <w:pPr>
        <w:pStyle w:val="9"/>
        <w:numPr>
          <w:ilvl w:val="0"/>
          <w:numId w:val="2"/>
        </w:numPr>
        <w:ind w:firstLineChars="0"/>
        <w:rPr>
          <w:rFonts w:ascii="新宋体" w:hAnsi="新宋体" w:eastAsia="新宋体"/>
          <w:sz w:val="28"/>
          <w:szCs w:val="28"/>
        </w:rPr>
      </w:pPr>
      <w:r>
        <w:rPr>
          <w:rFonts w:hint="eastAsia" w:ascii="新宋体" w:hAnsi="新宋体" w:eastAsia="新宋体"/>
          <w:sz w:val="28"/>
          <w:szCs w:val="28"/>
        </w:rPr>
        <w:t>反渗透膜：</w:t>
      </w:r>
      <w:r>
        <w:rPr>
          <w:rFonts w:hint="eastAsia" w:ascii="新宋体" w:hAnsi="新宋体" w:eastAsia="新宋体"/>
          <w:sz w:val="28"/>
          <w:szCs w:val="28"/>
          <w:lang w:val="en-US" w:eastAsia="zh-CN"/>
        </w:rPr>
        <w:t>规格8040，必须</w:t>
      </w:r>
      <w:r>
        <w:rPr>
          <w:rFonts w:hint="eastAsia" w:ascii="新宋体" w:hAnsi="新宋体" w:eastAsia="新宋体"/>
          <w:sz w:val="28"/>
          <w:szCs w:val="28"/>
        </w:rPr>
        <w:t>提供厂家产品数据表。</w:t>
      </w:r>
    </w:p>
    <w:p w14:paraId="7C3B7929">
      <w:pPr>
        <w:pStyle w:val="9"/>
        <w:numPr>
          <w:ilvl w:val="0"/>
          <w:numId w:val="2"/>
        </w:numPr>
        <w:ind w:firstLineChars="0"/>
        <w:rPr>
          <w:rFonts w:ascii="新宋体" w:hAnsi="新宋体" w:eastAsia="新宋体"/>
          <w:sz w:val="28"/>
          <w:szCs w:val="28"/>
        </w:rPr>
      </w:pPr>
      <w:r>
        <w:rPr>
          <w:rFonts w:hint="eastAsia" w:ascii="新宋体" w:hAnsi="新宋体" w:eastAsia="新宋体"/>
          <w:sz w:val="28"/>
          <w:szCs w:val="28"/>
        </w:rPr>
        <w:t>线芯：20＂5微米。提供检测报告和厂家资质。</w:t>
      </w:r>
    </w:p>
    <w:p w14:paraId="24712CA0">
      <w:pPr>
        <w:pStyle w:val="9"/>
        <w:numPr>
          <w:ilvl w:val="0"/>
          <w:numId w:val="2"/>
        </w:numPr>
        <w:ind w:firstLineChars="0"/>
        <w:rPr>
          <w:rFonts w:ascii="新宋体" w:hAnsi="新宋体" w:eastAsia="新宋体"/>
          <w:sz w:val="28"/>
          <w:szCs w:val="28"/>
        </w:rPr>
      </w:pPr>
      <w:r>
        <w:rPr>
          <w:rFonts w:hint="eastAsia" w:ascii="新宋体" w:hAnsi="新宋体" w:eastAsia="新宋体"/>
          <w:sz w:val="28"/>
          <w:szCs w:val="28"/>
        </w:rPr>
        <w:t>质量标准：细菌总数＜50CFU/mL；内毒素＜0.125EU/mL；化学污染物检测符合国家行业标准《血液透析及相关治疗用水》（YY 0572-2015）的要求。</w:t>
      </w:r>
    </w:p>
    <w:p w14:paraId="0FB0EE79">
      <w:pPr>
        <w:pStyle w:val="9"/>
        <w:numPr>
          <w:ilvl w:val="0"/>
          <w:numId w:val="1"/>
        </w:numPr>
        <w:spacing w:line="360" w:lineRule="auto"/>
        <w:ind w:firstLineChars="0"/>
        <w:rPr>
          <w:rFonts w:ascii="新宋体" w:hAnsi="新宋体" w:eastAsia="新宋体"/>
          <w:b/>
          <w:sz w:val="28"/>
          <w:szCs w:val="28"/>
        </w:rPr>
      </w:pPr>
      <w:r>
        <w:rPr>
          <w:rFonts w:hint="eastAsia" w:ascii="新宋体" w:hAnsi="新宋体" w:eastAsia="新宋体"/>
          <w:b/>
          <w:sz w:val="28"/>
          <w:szCs w:val="28"/>
          <w:lang w:val="en-US" w:eastAsia="zh-CN"/>
        </w:rPr>
        <w:t>售后</w:t>
      </w:r>
      <w:r>
        <w:rPr>
          <w:rFonts w:hint="eastAsia" w:ascii="新宋体" w:hAnsi="新宋体" w:eastAsia="新宋体"/>
          <w:b/>
          <w:sz w:val="28"/>
          <w:szCs w:val="28"/>
        </w:rPr>
        <w:t>要求</w:t>
      </w:r>
    </w:p>
    <w:p w14:paraId="6D56A103">
      <w:pPr>
        <w:pStyle w:val="9"/>
        <w:numPr>
          <w:ilvl w:val="0"/>
          <w:numId w:val="3"/>
        </w:numPr>
        <w:ind w:firstLineChars="0"/>
        <w:rPr>
          <w:rFonts w:ascii="新宋体" w:hAnsi="新宋体" w:eastAsia="新宋体"/>
          <w:sz w:val="28"/>
          <w:szCs w:val="28"/>
        </w:rPr>
      </w:pPr>
      <w:r>
        <w:rPr>
          <w:rFonts w:hint="eastAsia" w:ascii="新宋体" w:hAnsi="新宋体" w:eastAsia="新宋体"/>
          <w:sz w:val="28"/>
          <w:szCs w:val="28"/>
        </w:rPr>
        <w:t>更换材料后质保期1年。</w:t>
      </w:r>
    </w:p>
    <w:p w14:paraId="35EF532D">
      <w:pPr>
        <w:pStyle w:val="9"/>
        <w:numPr>
          <w:ilvl w:val="0"/>
          <w:numId w:val="3"/>
        </w:numPr>
        <w:ind w:firstLineChars="0"/>
        <w:rPr>
          <w:rFonts w:ascii="新宋体" w:hAnsi="新宋体" w:eastAsia="新宋体"/>
          <w:sz w:val="28"/>
          <w:szCs w:val="28"/>
        </w:rPr>
      </w:pPr>
      <w:r>
        <w:rPr>
          <w:rFonts w:hint="eastAsia" w:ascii="新宋体" w:hAnsi="新宋体" w:eastAsia="新宋体"/>
          <w:sz w:val="28"/>
          <w:szCs w:val="28"/>
        </w:rPr>
        <w:t>更换材料后需提供第三方水质检测报告（含化学污染物），检测费用由供应商负责。</w:t>
      </w:r>
    </w:p>
    <w:p w14:paraId="612367E2">
      <w:pPr>
        <w:pStyle w:val="9"/>
        <w:numPr>
          <w:ilvl w:val="0"/>
          <w:numId w:val="3"/>
        </w:numPr>
        <w:ind w:firstLineChars="0"/>
        <w:rPr>
          <w:rFonts w:ascii="新宋体" w:hAnsi="新宋体" w:eastAsia="新宋体"/>
          <w:sz w:val="28"/>
          <w:szCs w:val="28"/>
        </w:rPr>
      </w:pPr>
      <w:r>
        <w:rPr>
          <w:rFonts w:hint="eastAsia" w:ascii="新宋体" w:hAnsi="新宋体" w:eastAsia="新宋体"/>
          <w:sz w:val="28"/>
          <w:szCs w:val="28"/>
        </w:rPr>
        <w:t>更换材料后需提供1年消毒服务。每3个月定期上门化学消毒，消毒液由供应商提供，消毒服务包含透析机进水软管联机消毒并确保每台透析机消毒液残留测试合格。</w:t>
      </w:r>
    </w:p>
    <w:p w14:paraId="3DC38C4D">
      <w:pPr>
        <w:pStyle w:val="9"/>
        <w:numPr>
          <w:ilvl w:val="0"/>
          <w:numId w:val="3"/>
        </w:numPr>
        <w:ind w:firstLineChars="0"/>
        <w:rPr>
          <w:rFonts w:ascii="新宋体" w:hAnsi="新宋体" w:eastAsia="新宋体"/>
          <w:sz w:val="28"/>
          <w:szCs w:val="28"/>
        </w:rPr>
      </w:pPr>
      <w:r>
        <w:rPr>
          <w:rFonts w:hint="eastAsia" w:ascii="新宋体" w:hAnsi="新宋体" w:eastAsia="新宋体"/>
          <w:sz w:val="28"/>
          <w:szCs w:val="28"/>
        </w:rPr>
        <w:t>更换材料不得影响透析中心正常工作，更换后的废料自行处置，不能堆放于科室内。</w:t>
      </w:r>
    </w:p>
    <w:p w14:paraId="189DB1FA">
      <w:pPr>
        <w:pStyle w:val="9"/>
        <w:numPr>
          <w:ilvl w:val="0"/>
          <w:numId w:val="3"/>
        </w:numPr>
        <w:ind w:firstLineChars="0"/>
        <w:rPr>
          <w:rFonts w:ascii="新宋体" w:hAnsi="新宋体" w:eastAsia="新宋体"/>
          <w:sz w:val="28"/>
          <w:szCs w:val="28"/>
        </w:rPr>
      </w:pPr>
      <w:r>
        <w:rPr>
          <w:rFonts w:hint="eastAsia" w:ascii="新宋体" w:hAnsi="新宋体" w:eastAsia="新宋体"/>
          <w:sz w:val="28"/>
          <w:szCs w:val="28"/>
        </w:rPr>
        <w:t xml:space="preserve">在质保期内或使用过程中出现任何质量问题，成交供应商在接到采购人或使用人电话后 1 小时内响应，4 小时内到达采购人指定现场，24 小时内解决问题。 </w:t>
      </w:r>
    </w:p>
    <w:p w14:paraId="155524D4">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80E11"/>
    <w:multiLevelType w:val="multilevel"/>
    <w:tmpl w:val="3E480E1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1254203"/>
    <w:multiLevelType w:val="multilevel"/>
    <w:tmpl w:val="5125420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750669"/>
    <w:multiLevelType w:val="multilevel"/>
    <w:tmpl w:val="53750669"/>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66783"/>
    <w:rsid w:val="0078143C"/>
    <w:rsid w:val="04974587"/>
    <w:rsid w:val="07CB4548"/>
    <w:rsid w:val="0E76345F"/>
    <w:rsid w:val="0E9231A3"/>
    <w:rsid w:val="0F1802A8"/>
    <w:rsid w:val="152D239E"/>
    <w:rsid w:val="1A3F6DFB"/>
    <w:rsid w:val="23B343B6"/>
    <w:rsid w:val="23C6233B"/>
    <w:rsid w:val="2E616797"/>
    <w:rsid w:val="308B0B94"/>
    <w:rsid w:val="30FA1876"/>
    <w:rsid w:val="31820E78"/>
    <w:rsid w:val="3220355E"/>
    <w:rsid w:val="33AF6948"/>
    <w:rsid w:val="33E626FE"/>
    <w:rsid w:val="39266783"/>
    <w:rsid w:val="3B84690C"/>
    <w:rsid w:val="41FA243D"/>
    <w:rsid w:val="42D53EF1"/>
    <w:rsid w:val="47615D53"/>
    <w:rsid w:val="500144AF"/>
    <w:rsid w:val="5434772C"/>
    <w:rsid w:val="651F307E"/>
    <w:rsid w:val="67B53825"/>
    <w:rsid w:val="6FF9115C"/>
    <w:rsid w:val="724B70AD"/>
    <w:rsid w:val="7E01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1"/>
    <w:pPr>
      <w:widowControl w:val="0"/>
      <w:autoSpaceDE w:val="0"/>
      <w:autoSpaceDN w:val="0"/>
      <w:adjustRightInd/>
      <w:snapToGrid/>
      <w:spacing w:afterLines="50" w:line="360" w:lineRule="auto"/>
      <w:jc w:val="center"/>
      <w:outlineLvl w:val="2"/>
    </w:pPr>
    <w:rPr>
      <w:rFonts w:ascii="宋体" w:hAnsi="宋体" w:eastAsia="宋体" w:cs="宋体"/>
      <w:b/>
      <w:bCs/>
      <w:sz w:val="32"/>
      <w:szCs w:val="32"/>
      <w:lang w:val="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spacing w:line="360" w:lineRule="auto"/>
    </w:pPr>
    <w:rPr>
      <w:color w:val="FF0000"/>
    </w:rPr>
  </w:style>
  <w:style w:type="paragraph" w:styleId="5">
    <w:name w:val="Subtitle"/>
    <w:basedOn w:val="1"/>
    <w:next w:val="1"/>
    <w:qFormat/>
    <w:uiPriority w:val="0"/>
    <w:rPr>
      <w:rFonts w:asciiTheme="majorHAnsi" w:hAnsiTheme="majorHAnsi" w:eastAsiaTheme="majorEastAsia" w:cstheme="majorBidi"/>
      <w:i/>
      <w:iCs/>
      <w:color w:val="4874CB" w:themeColor="accent1"/>
      <w:spacing w:val="15"/>
      <w:sz w:val="24"/>
      <w14:textFill>
        <w14:solidFill>
          <w14:schemeClr w14:val="accent1"/>
        </w14:solidFill>
      </w14:textFill>
    </w:rPr>
  </w:style>
  <w:style w:type="table" w:styleId="7">
    <w:name w:val="Table Grid"/>
    <w:basedOn w:val="6"/>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1149</Words>
  <Characters>1315</Characters>
  <Lines>0</Lines>
  <Paragraphs>0</Paragraphs>
  <TotalTime>15</TotalTime>
  <ScaleCrop>false</ScaleCrop>
  <LinksUpToDate>false</LinksUpToDate>
  <CharactersWithSpaces>1412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2025-07-24T05:09:00Z</dcterms:created>
  <dc:creator>李光伟</dc:creator>
  <cp:lastModifiedBy>娟子</cp:lastModifiedBy>
  <cp:lastPrinted>2025-07-30T01:40:00Z</cp:lastPrinted>
  <dcterms:modified xsi:type="dcterms:W3CDTF">2025-07-30T06:11:36Z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BB6A4B67F18D4FEFA9F74479E60BEC5E_13</vt:lpwstr>
  </property>
  <property fmtid="{D5CDD505-2E9C-101B-9397-08002B2CF9AE}" pid="4" name="KSOTemplateDocerSaveRecord">
    <vt:lpwstr>eyJoZGlkIjoiMDIyZTA3Y2Q2ZDViNzgzOWJmNmFjYzQ5MDgwNzVmOWIiLCJ1c2VySWQiOiIxMDIwMzUxMzE0In0=</vt:lpwstr>
  </property>
</Properties>
</file>