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26E7A">
      <w:pPr>
        <w:pStyle w:val="3"/>
        <w:spacing w:line="400" w:lineRule="exact"/>
        <w:ind w:firstLine="313" w:firstLineChars="98"/>
        <w:rPr>
          <w:rFonts w:hint="default" w:ascii="宋体" w:hAnsi="宋体" w:eastAsia="宋体" w:cs="宋体"/>
          <w:b w:val="0"/>
          <w:bCs w:val="0"/>
          <w:kern w:val="2"/>
          <w:sz w:val="32"/>
          <w:szCs w:val="32"/>
          <w:lang w:val="en-US" w:eastAsia="zh-CN" w:bidi="ar-SA"/>
        </w:rPr>
      </w:pPr>
      <w:bookmarkStart w:id="0" w:name="_Toc1996_WPSOffice_Level2"/>
      <w:bookmarkStart w:id="1" w:name="_Toc22154714"/>
      <w:bookmarkStart w:id="2" w:name="_Toc25682_WPSOffice_Level2"/>
      <w:bookmarkStart w:id="3" w:name="_Toc7682_WPSOffice_Level2"/>
      <w:bookmarkStart w:id="4" w:name="_Toc480449331"/>
      <w:bookmarkStart w:id="5" w:name="_Toc15835_WPSOffice_Level2"/>
      <w:r>
        <w:rPr>
          <w:rFonts w:hint="eastAsia" w:ascii="宋体" w:hAnsi="宋体" w:cs="宋体"/>
          <w:b w:val="0"/>
          <w:bCs w:val="0"/>
          <w:kern w:val="2"/>
          <w:sz w:val="32"/>
          <w:szCs w:val="32"/>
          <w:lang w:val="en-US" w:eastAsia="zh-CN" w:bidi="ar-SA"/>
        </w:rPr>
        <w:t>附件（三）</w:t>
      </w:r>
    </w:p>
    <w:p w14:paraId="55983D7C">
      <w:pPr>
        <w:pStyle w:val="3"/>
        <w:spacing w:line="400" w:lineRule="exact"/>
        <w:ind w:firstLine="313" w:firstLineChars="98"/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  <w:lang w:val="en-US" w:eastAsia="zh-CN" w:bidi="ar-SA"/>
        </w:rPr>
      </w:pPr>
      <w:bookmarkStart w:id="6" w:name="_GoBack"/>
      <w:r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  <w:lang w:val="en-US" w:eastAsia="zh-CN" w:bidi="ar-SA"/>
        </w:rPr>
        <w:t>评标细则及标准</w:t>
      </w:r>
      <w:bookmarkEnd w:id="0"/>
      <w:bookmarkEnd w:id="1"/>
      <w:bookmarkEnd w:id="2"/>
      <w:bookmarkEnd w:id="3"/>
      <w:bookmarkEnd w:id="4"/>
      <w:bookmarkEnd w:id="5"/>
    </w:p>
    <w:bookmarkEnd w:id="6"/>
    <w:tbl>
      <w:tblPr>
        <w:tblStyle w:val="6"/>
        <w:tblW w:w="9655" w:type="dxa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99"/>
        <w:gridCol w:w="1093"/>
        <w:gridCol w:w="6412"/>
      </w:tblGrid>
      <w:tr w14:paraId="54F2A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86726">
            <w:pPr>
              <w:spacing w:line="360" w:lineRule="auto"/>
              <w:ind w:left="300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AC7AD">
            <w:pPr>
              <w:spacing w:line="360" w:lineRule="auto"/>
              <w:ind w:left="300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评分因素及权重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7217F">
            <w:pPr>
              <w:spacing w:line="360" w:lineRule="auto"/>
              <w:ind w:left="300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分　值</w:t>
            </w:r>
          </w:p>
        </w:tc>
        <w:tc>
          <w:tcPr>
            <w:tcW w:w="6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CFA50">
            <w:pPr>
              <w:spacing w:line="360" w:lineRule="auto"/>
              <w:ind w:left="300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评分标准</w:t>
            </w:r>
          </w:p>
        </w:tc>
      </w:tr>
      <w:tr w14:paraId="0BAA8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EA984">
            <w:pPr>
              <w:spacing w:line="360" w:lineRule="auto"/>
              <w:ind w:left="300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1D56E">
            <w:pPr>
              <w:spacing w:line="360" w:lineRule="auto"/>
              <w:ind w:left="300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报价 20%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9DE7F">
            <w:pPr>
              <w:spacing w:line="360" w:lineRule="auto"/>
              <w:ind w:left="300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6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B2A13">
            <w:pPr>
              <w:spacing w:line="360" w:lineRule="auto"/>
              <w:ind w:left="300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价格分采用低价优先法计算，即满足招标文件要求且投标价格最低的投标报价为评标基准价，其价格分为满分。其他供应商的价格分统一按照下列公式计算：</w:t>
            </w:r>
          </w:p>
          <w:p w14:paraId="01C43188">
            <w:pPr>
              <w:spacing w:line="360" w:lineRule="auto"/>
              <w:ind w:left="300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投标报价得分=（评标基准价／投标报价）×20；</w:t>
            </w:r>
          </w:p>
          <w:p w14:paraId="685EA01B">
            <w:pPr>
              <w:spacing w:line="360" w:lineRule="auto"/>
              <w:ind w:left="300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</w:tr>
      <w:tr w14:paraId="71952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B5702">
            <w:pPr>
              <w:spacing w:line="360" w:lineRule="auto"/>
              <w:ind w:left="300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9062A">
            <w:pPr>
              <w:spacing w:line="360" w:lineRule="auto"/>
              <w:ind w:left="300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技术</w:t>
            </w:r>
          </w:p>
          <w:p w14:paraId="1E62EF0F">
            <w:pPr>
              <w:spacing w:line="360" w:lineRule="auto"/>
              <w:ind w:left="300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和商务及其他要求30%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845FE">
            <w:pPr>
              <w:spacing w:line="360" w:lineRule="auto"/>
              <w:ind w:left="300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6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A7AFA">
            <w:pPr>
              <w:spacing w:line="360" w:lineRule="auto"/>
              <w:ind w:left="300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技术、商务及其他要求完全满足招标文件要求得30分，低于招标文件要求的（负偏离），▲号条款负偏离一项扣6分，一般条款负偏离一项扣2分。扣完为止。★条款为本次维保服务的实质性条款，不允许有负偏离。</w:t>
            </w:r>
          </w:p>
        </w:tc>
      </w:tr>
      <w:tr w14:paraId="6EB63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9A340">
            <w:pPr>
              <w:spacing w:line="360" w:lineRule="auto"/>
              <w:ind w:left="300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D5A9F">
            <w:pPr>
              <w:spacing w:line="360" w:lineRule="auto"/>
              <w:ind w:left="300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相关业绩10%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89FE9">
            <w:pPr>
              <w:spacing w:line="360" w:lineRule="auto"/>
              <w:ind w:left="300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A26E8">
            <w:pPr>
              <w:spacing w:line="360" w:lineRule="auto"/>
              <w:ind w:left="300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1、评标委员会根据投标人提供的西门子磁共振移机业绩进行打分，每提供一个得2分，最多得4分。经验证明资料需提供移机合同及移机过程工作照片。未提供证明资料或者提供证明资料提供不完整不得分。</w:t>
            </w:r>
          </w:p>
          <w:p w14:paraId="5D589C4B">
            <w:pPr>
              <w:spacing w:line="360" w:lineRule="auto"/>
              <w:ind w:left="300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2、评标委员会根据投标人提供的西门子磁共振维保服务业绩进行打分，每提供一个得2分，最多得6分。</w:t>
            </w:r>
          </w:p>
          <w:p w14:paraId="6B550FDA">
            <w:pPr>
              <w:spacing w:line="360" w:lineRule="auto"/>
              <w:ind w:left="300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注：需提供合同复印件。</w:t>
            </w:r>
          </w:p>
          <w:p w14:paraId="6F185649">
            <w:pPr>
              <w:spacing w:line="360" w:lineRule="auto"/>
              <w:ind w:left="300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4D9C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644B8">
            <w:pPr>
              <w:spacing w:line="360" w:lineRule="auto"/>
              <w:ind w:left="30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D79B6">
            <w:pPr>
              <w:spacing w:line="360" w:lineRule="auto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服务方案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30</w:t>
            </w:r>
            <w:r>
              <w:rPr>
                <w:rFonts w:ascii="宋体" w:hAnsi="宋体" w:cs="宋体"/>
                <w:sz w:val="21"/>
                <w:szCs w:val="21"/>
              </w:rPr>
              <w:t>%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263B2">
            <w:pPr>
              <w:spacing w:line="360" w:lineRule="auto"/>
              <w:ind w:left="30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6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D1662">
            <w:pPr>
              <w:spacing w:line="360" w:lineRule="auto"/>
              <w:ind w:left="300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供应商针对本项目制定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移机</w:t>
            </w:r>
            <w:r>
              <w:rPr>
                <w:rFonts w:hint="eastAsia" w:ascii="宋体" w:hAnsi="宋体" w:cs="宋体"/>
                <w:sz w:val="21"/>
                <w:szCs w:val="21"/>
              </w:rPr>
              <w:t>服务方案，方案需包含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：</w:t>
            </w:r>
          </w:p>
          <w:p w14:paraId="54948CBD">
            <w:pPr>
              <w:spacing w:line="360" w:lineRule="auto"/>
              <w:ind w:left="300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①服务团队配置及职责分工；</w:t>
            </w:r>
          </w:p>
          <w:p w14:paraId="12BC1EAE">
            <w:pPr>
              <w:spacing w:line="360" w:lineRule="auto"/>
              <w:ind w:left="300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本项目配置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工程师持有MRI设备维修/移机认证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得2分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</w:t>
            </w:r>
          </w:p>
          <w:p w14:paraId="58D9FC7D">
            <w:pPr>
              <w:spacing w:line="360" w:lineRule="auto"/>
              <w:ind w:left="30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本项目配置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工程师持有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移机设备制造厂商出具的西门子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MRI设备维修/移机认证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证书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，每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提供1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人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证书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加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分，最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多加4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分。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需提供佐证资料，同时提供工程师获得设备制造厂商出具的维修/移机认证证书。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）</w:t>
            </w:r>
          </w:p>
          <w:p w14:paraId="35CC4D70">
            <w:pPr>
              <w:spacing w:line="360" w:lineRule="auto"/>
              <w:ind w:left="30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②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磁体运输方案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</w:p>
          <w:p w14:paraId="6739C9FB">
            <w:pPr>
              <w:spacing w:line="360" w:lineRule="auto"/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磁体运输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使用专用防震运输架，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提供照片等相关证明材料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分） ； 液氦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泄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漏应急预案，现场氦气浓度监测设备配置（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 xml:space="preserve">分）  </w:t>
            </w:r>
          </w:p>
          <w:p w14:paraId="1E225E8B">
            <w:pPr>
              <w:spacing w:line="360" w:lineRule="auto"/>
              <w:ind w:left="300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③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移机工具</w:t>
            </w:r>
            <w:r>
              <w:rPr>
                <w:rFonts w:hint="eastAsia" w:ascii="宋体" w:hAnsi="宋体" w:cs="宋体"/>
                <w:sz w:val="21"/>
                <w:szCs w:val="21"/>
              </w:rPr>
              <w:t>保障方案；</w:t>
            </w:r>
          </w:p>
          <w:p w14:paraId="35F64D21">
            <w:pPr>
              <w:spacing w:line="360" w:lineRule="auto"/>
              <w:ind w:left="30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供应商具有本项目移机所需要的专业工具：励磁电源、匀场支架、匀场片、床运输工具、磁体运输工具、模体、输液管、坦克轮、减压表，千斤顶、示波器、万用表并提供相应的工具照片。每提供1个工具对应照片得0.5分，最多得6分。</w:t>
            </w:r>
          </w:p>
          <w:p w14:paraId="5B890552">
            <w:pPr>
              <w:spacing w:line="360" w:lineRule="auto"/>
              <w:ind w:left="300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④技术保障方案；</w:t>
            </w:r>
          </w:p>
          <w:p w14:paraId="676DEB9F">
            <w:pPr>
              <w:spacing w:line="360" w:lineRule="auto"/>
              <w:ind w:left="300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安装流程:（2分）</w:t>
            </w:r>
          </w:p>
          <w:p w14:paraId="699D334D">
            <w:pPr>
              <w:spacing w:line="360" w:lineRule="auto"/>
              <w:ind w:left="300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调试校准流程:（2分）</w:t>
            </w:r>
          </w:p>
          <w:p w14:paraId="7DCC15ED">
            <w:pPr>
              <w:spacing w:line="360" w:lineRule="auto"/>
              <w:ind w:left="300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功能验证:（2分）  </w:t>
            </w:r>
          </w:p>
          <w:p w14:paraId="67E294F6">
            <w:pPr>
              <w:spacing w:line="360" w:lineRule="auto"/>
              <w:ind w:left="300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以上方案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每有一处内容缺陷扣2分，（内容缺陷是指：项目名称与本项目要求不一致、套用其他项目模板、流程不清晰或只有框架、内容与本项目无关等任意一种情形）的，扣完为止。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</w:t>
            </w:r>
          </w:p>
          <w:p w14:paraId="20E24F37">
            <w:pPr>
              <w:spacing w:line="360" w:lineRule="auto"/>
              <w:ind w:left="300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⑤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移机</w:t>
            </w:r>
            <w:r>
              <w:rPr>
                <w:rFonts w:hint="eastAsia" w:ascii="宋体" w:hAnsi="宋体" w:cs="宋体"/>
                <w:sz w:val="21"/>
                <w:szCs w:val="21"/>
              </w:rPr>
              <w:t>质量保障措施；</w:t>
            </w:r>
          </w:p>
          <w:p w14:paraId="1AD167BD">
            <w:pPr>
              <w:spacing w:line="360" w:lineRule="auto"/>
              <w:ind w:left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质量控制:建立质量控制体系，确保移机过程中的每一个环节都符合标准。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（3分）</w:t>
            </w:r>
          </w:p>
          <w:p w14:paraId="7A795949">
            <w:pPr>
              <w:spacing w:line="360" w:lineRule="auto"/>
              <w:ind w:left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安全措施:制定详细的安全技术措施，包括设备吊装、搬运过程中的防倾翻、防触电等。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（3分）</w:t>
            </w:r>
          </w:p>
          <w:p w14:paraId="73F4BD32">
            <w:pPr>
              <w:spacing w:line="360" w:lineRule="auto"/>
              <w:ind w:left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以上方案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每有一处内容缺陷扣3分，（内容缺陷是指：项目名称与本项目要求不一致、套用其他项目模板、流程不清晰或只有框架、内容与本项目无关等任意一种情形）的，扣完为止。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</w:p>
          <w:p w14:paraId="1710F507">
            <w:pPr>
              <w:spacing w:line="360" w:lineRule="auto"/>
              <w:ind w:left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67C0CBE7">
            <w:pPr>
              <w:spacing w:line="360" w:lineRule="auto"/>
              <w:ind w:left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0086F642">
            <w:pPr>
              <w:spacing w:line="360" w:lineRule="auto"/>
              <w:ind w:left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213A6CCB">
            <w:pPr>
              <w:spacing w:line="360" w:lineRule="auto"/>
              <w:ind w:left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3EB0D31F">
            <w:pPr>
              <w:spacing w:line="360" w:lineRule="auto"/>
              <w:ind w:left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立急预案:制定应对突发情况的应急预案，如设备损坏、运输事故等[^完全满足本项目要求得6分，每缺少一项内容扣3分；</w:t>
            </w:r>
          </w:p>
          <w:p w14:paraId="57C9A822">
            <w:pPr>
              <w:spacing w:line="360" w:lineRule="auto"/>
              <w:ind w:left="30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27543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FC349">
            <w:pPr>
              <w:spacing w:line="360" w:lineRule="auto"/>
              <w:ind w:left="30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5D181">
            <w:pPr>
              <w:spacing w:line="360" w:lineRule="auto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应急方案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ascii="宋体" w:hAnsi="宋体" w:cs="宋体"/>
                <w:sz w:val="21"/>
                <w:szCs w:val="21"/>
              </w:rPr>
              <w:t>%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1C122">
            <w:pPr>
              <w:spacing w:line="360" w:lineRule="auto"/>
              <w:ind w:left="30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D2B45">
            <w:pPr>
              <w:spacing w:line="360" w:lineRule="auto"/>
              <w:ind w:left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①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组织架构与职责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（2.5分）</w:t>
            </w:r>
          </w:p>
          <w:p w14:paraId="55B99DE0">
            <w:pPr>
              <w:spacing w:line="360" w:lineRule="auto"/>
              <w:ind w:left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风险评估与预防措施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（2.5分）</w:t>
            </w:r>
          </w:p>
          <w:p w14:paraId="086C708F">
            <w:pPr>
              <w:spacing w:line="360" w:lineRule="auto"/>
              <w:ind w:left="300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③应急响应流程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（2.5分）</w:t>
            </w:r>
          </w:p>
          <w:p w14:paraId="1932BA06">
            <w:pPr>
              <w:spacing w:line="360" w:lineRule="auto"/>
              <w:ind w:left="300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④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特殊场景预案（2.5分）</w:t>
            </w:r>
          </w:p>
          <w:p w14:paraId="6B72959F">
            <w:pPr>
              <w:spacing w:line="360" w:lineRule="auto"/>
              <w:ind w:left="30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以上方案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每有一处内容缺陷扣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2.5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分，（内容缺陷是指：项目名称与本项目要求不一致、套用其他项目模板、流程不清晰或只有框架、内容与本项目无关等任意一种情形）的，扣完为止。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</w:p>
        </w:tc>
      </w:tr>
    </w:tbl>
    <w:p w14:paraId="311EB577">
      <w:pPr>
        <w:rPr>
          <w:rFonts w:hint="eastAsia" w:ascii="宋体" w:hAnsi="宋体" w:eastAsia="宋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</w:p>
    <w:p w14:paraId="19D423D3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642480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6665BF"/>
    <w:rsid w:val="006E05BE"/>
    <w:rsid w:val="018856AF"/>
    <w:rsid w:val="025A529E"/>
    <w:rsid w:val="03231B33"/>
    <w:rsid w:val="0350044F"/>
    <w:rsid w:val="04206073"/>
    <w:rsid w:val="067508F8"/>
    <w:rsid w:val="09A92667"/>
    <w:rsid w:val="0BD53BE7"/>
    <w:rsid w:val="0C3B7EEE"/>
    <w:rsid w:val="0CC3104A"/>
    <w:rsid w:val="0F087E2F"/>
    <w:rsid w:val="0F0E7B3C"/>
    <w:rsid w:val="0FE60171"/>
    <w:rsid w:val="10046913"/>
    <w:rsid w:val="11AE4CBE"/>
    <w:rsid w:val="11E903EC"/>
    <w:rsid w:val="14A95C11"/>
    <w:rsid w:val="15064E11"/>
    <w:rsid w:val="16B03286"/>
    <w:rsid w:val="170B4961"/>
    <w:rsid w:val="17163A31"/>
    <w:rsid w:val="17263548"/>
    <w:rsid w:val="173619DD"/>
    <w:rsid w:val="17710C68"/>
    <w:rsid w:val="19C37774"/>
    <w:rsid w:val="1A225177"/>
    <w:rsid w:val="1B1C538E"/>
    <w:rsid w:val="1C01076B"/>
    <w:rsid w:val="1C24274C"/>
    <w:rsid w:val="1D104B78"/>
    <w:rsid w:val="1DD34B95"/>
    <w:rsid w:val="1EF53F2C"/>
    <w:rsid w:val="1F667C26"/>
    <w:rsid w:val="1F6D61B8"/>
    <w:rsid w:val="20014B53"/>
    <w:rsid w:val="20A57BD4"/>
    <w:rsid w:val="217575A6"/>
    <w:rsid w:val="21B0355A"/>
    <w:rsid w:val="2322375E"/>
    <w:rsid w:val="23607D95"/>
    <w:rsid w:val="239D6224"/>
    <w:rsid w:val="23A3664D"/>
    <w:rsid w:val="248F4E23"/>
    <w:rsid w:val="24BF60C9"/>
    <w:rsid w:val="2628108B"/>
    <w:rsid w:val="275A34C6"/>
    <w:rsid w:val="29606D8E"/>
    <w:rsid w:val="2A985008"/>
    <w:rsid w:val="2AB70C30"/>
    <w:rsid w:val="2AC234BF"/>
    <w:rsid w:val="2C4402A1"/>
    <w:rsid w:val="2D9B2143"/>
    <w:rsid w:val="2EE144CD"/>
    <w:rsid w:val="30316D8E"/>
    <w:rsid w:val="306C7DC6"/>
    <w:rsid w:val="3148438F"/>
    <w:rsid w:val="314A45AB"/>
    <w:rsid w:val="32D373F3"/>
    <w:rsid w:val="32F26CA9"/>
    <w:rsid w:val="33B71CA0"/>
    <w:rsid w:val="34254E5C"/>
    <w:rsid w:val="345D45F6"/>
    <w:rsid w:val="3579545F"/>
    <w:rsid w:val="35FF348B"/>
    <w:rsid w:val="363475D8"/>
    <w:rsid w:val="369167D9"/>
    <w:rsid w:val="37704640"/>
    <w:rsid w:val="37F766A6"/>
    <w:rsid w:val="38174ABC"/>
    <w:rsid w:val="391D4354"/>
    <w:rsid w:val="3A744447"/>
    <w:rsid w:val="3BD44BED"/>
    <w:rsid w:val="3C37572C"/>
    <w:rsid w:val="3C3A521C"/>
    <w:rsid w:val="3F9E5AC2"/>
    <w:rsid w:val="3FBD419A"/>
    <w:rsid w:val="416E7E42"/>
    <w:rsid w:val="426B6130"/>
    <w:rsid w:val="431762B8"/>
    <w:rsid w:val="44BD69EB"/>
    <w:rsid w:val="4550160D"/>
    <w:rsid w:val="45A55DFD"/>
    <w:rsid w:val="46D544C0"/>
    <w:rsid w:val="4715727F"/>
    <w:rsid w:val="4816685E"/>
    <w:rsid w:val="4C1E2465"/>
    <w:rsid w:val="4C7402D7"/>
    <w:rsid w:val="4CF3744D"/>
    <w:rsid w:val="4CF66F3E"/>
    <w:rsid w:val="4EF179BD"/>
    <w:rsid w:val="4F1B712F"/>
    <w:rsid w:val="4FF84D7B"/>
    <w:rsid w:val="5153670D"/>
    <w:rsid w:val="536665BF"/>
    <w:rsid w:val="55CE6CAA"/>
    <w:rsid w:val="58555460"/>
    <w:rsid w:val="585D4315"/>
    <w:rsid w:val="58645BF1"/>
    <w:rsid w:val="58EA204C"/>
    <w:rsid w:val="5A221372"/>
    <w:rsid w:val="5B24111A"/>
    <w:rsid w:val="5C2238AB"/>
    <w:rsid w:val="5CED210B"/>
    <w:rsid w:val="5E331DA0"/>
    <w:rsid w:val="5E993BCD"/>
    <w:rsid w:val="5FDC1FC3"/>
    <w:rsid w:val="60121E89"/>
    <w:rsid w:val="625627E4"/>
    <w:rsid w:val="62C20791"/>
    <w:rsid w:val="63F0603D"/>
    <w:rsid w:val="655B1BDC"/>
    <w:rsid w:val="657B402C"/>
    <w:rsid w:val="66C7577B"/>
    <w:rsid w:val="66E16111"/>
    <w:rsid w:val="676B07FC"/>
    <w:rsid w:val="69605A13"/>
    <w:rsid w:val="6C6B0957"/>
    <w:rsid w:val="6E5378F4"/>
    <w:rsid w:val="6F524050"/>
    <w:rsid w:val="6FAC3760"/>
    <w:rsid w:val="71213CDA"/>
    <w:rsid w:val="722C2936"/>
    <w:rsid w:val="72993DB8"/>
    <w:rsid w:val="74D6302D"/>
    <w:rsid w:val="7530273D"/>
    <w:rsid w:val="777E5BC3"/>
    <w:rsid w:val="78715547"/>
    <w:rsid w:val="7C5733F0"/>
    <w:rsid w:val="7FB0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napToGrid w:val="0"/>
      <w:spacing w:line="360" w:lineRule="atLeast"/>
      <w:outlineLvl w:val="0"/>
    </w:pPr>
    <w:rPr>
      <w:rFonts w:ascii="宋体"/>
    </w:rPr>
  </w:style>
  <w:style w:type="paragraph" w:styleId="3">
    <w:name w:val="heading 2"/>
    <w:basedOn w:val="1"/>
    <w:next w:val="1"/>
    <w:unhideWhenUsed/>
    <w:qFormat/>
    <w:uiPriority w:val="0"/>
    <w:pPr>
      <w:keepNext w:val="0"/>
      <w:keepLines w:val="0"/>
      <w:spacing w:before="260" w:beforeLines="0" w:beforeAutospacing="0" w:after="260" w:afterLines="0" w:afterAutospacing="0" w:line="413" w:lineRule="auto"/>
      <w:jc w:val="left"/>
      <w:outlineLvl w:val="1"/>
    </w:pPr>
    <w:rPr>
      <w:rFonts w:ascii="Arial" w:hAnsi="Arial" w:eastAsia="宋体" w:cs="Times New Roman"/>
      <w:b/>
      <w:sz w:val="3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widowControl/>
      <w:spacing w:line="360" w:lineRule="auto"/>
    </w:pPr>
    <w:rPr>
      <w:color w:val="FF0000"/>
    </w:rPr>
  </w:style>
  <w:style w:type="paragraph" w:styleId="5">
    <w:name w:val="Subtitle"/>
    <w:basedOn w:val="1"/>
    <w:next w:val="1"/>
    <w:qFormat/>
    <w:uiPriority w:val="0"/>
    <w:rPr>
      <w:rFonts w:asciiTheme="majorHAnsi" w:hAnsiTheme="majorHAnsi" w:eastAsiaTheme="majorEastAsia" w:cstheme="majorBidi"/>
      <w:i/>
      <w:iCs/>
      <w:color w:val="4874CB" w:themeColor="accent1"/>
      <w:spacing w:val="15"/>
      <w:sz w:val="24"/>
      <w14:textFill>
        <w14:solidFill>
          <w14:schemeClr w14:val="accent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2936</Words>
  <Characters>3046</Characters>
  <Lines>0</Lines>
  <Paragraphs>0</Paragraphs>
  <TotalTime>23</TotalTime>
  <ScaleCrop>false</ScaleCrop>
  <LinksUpToDate>false</LinksUpToDate>
  <CharactersWithSpaces>3127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2025-09-16T09:43:00Z</dcterms:created>
  <dc:creator>李光伟</dc:creator>
  <cp:lastModifiedBy>娟子</cp:lastModifiedBy>
  <cp:lastPrinted>2025-09-28T07:00:00Z</cp:lastPrinted>
  <dcterms:modified xsi:type="dcterms:W3CDTF">2025-10-15T06:13:27Z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AA2EAF44ADBE4083915ACB78C82DBD93_13</vt:lpwstr>
  </property>
  <property fmtid="{D5CDD505-2E9C-101B-9397-08002B2CF9AE}" pid="4" name="KSOTemplateDocerSaveRecord">
    <vt:lpwstr>eyJoZGlkIjoiMDIyZTA3Y2Q2ZDViNzgzOWJmNmFjYzQ5MDgwNzVmOWIiLCJ1c2VySWQiOiIxMDIwMzUxMzE0In0=</vt:lpwstr>
  </property>
</Properties>
</file>