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690FF">
      <w:pPr>
        <w:tabs>
          <w:tab w:val="left" w:pos="8620"/>
        </w:tabs>
        <w:ind w:left="-395" w:leftChars="-295" w:right="0" w:rightChars="0" w:hanging="224" w:hangingChars="62"/>
        <w:jc w:val="center"/>
        <w:rPr>
          <w:rFonts w:hint="default" w:ascii="宋体" w:hAnsi="宋体" w:eastAsia="宋体" w:cs="Times New Roman"/>
          <w:b/>
          <w:bCs/>
          <w:sz w:val="36"/>
          <w:szCs w:val="36"/>
          <w:lang w:val="en-US" w:eastAsia="zh-CN"/>
        </w:rPr>
      </w:pPr>
      <w:bookmarkStart w:id="0" w:name="_GoBack"/>
      <w:r>
        <w:rPr>
          <w:rFonts w:hint="eastAsia" w:ascii="宋体" w:hAnsi="宋体"/>
          <w:b/>
          <w:bCs/>
          <w:sz w:val="36"/>
          <w:szCs w:val="36"/>
        </w:rPr>
        <w:t>广元市中医医院</w:t>
      </w:r>
      <w:r>
        <w:rPr>
          <w:rFonts w:hint="eastAsia" w:ascii="宋体" w:hAnsi="宋体"/>
          <w:b/>
          <w:bCs/>
          <w:sz w:val="36"/>
          <w:szCs w:val="36"/>
          <w:lang w:val="en-US" w:eastAsia="zh-CN"/>
        </w:rPr>
        <w:t>关于对</w:t>
      </w:r>
      <w:r>
        <w:rPr>
          <w:rFonts w:hint="default" w:ascii="宋体" w:hAnsi="宋体" w:eastAsia="宋体" w:cs="Times New Roman"/>
          <w:b/>
          <w:bCs/>
          <w:sz w:val="36"/>
          <w:szCs w:val="36"/>
          <w:lang w:val="en-US" w:eastAsia="zh-CN"/>
        </w:rPr>
        <w:t>一批影像设备维保及搬迁服务</w:t>
      </w:r>
    </w:p>
    <w:p w14:paraId="46973315">
      <w:pPr>
        <w:tabs>
          <w:tab w:val="left" w:pos="8620"/>
        </w:tabs>
        <w:ind w:left="-395" w:leftChars="-295" w:right="0" w:rightChars="0" w:hanging="224" w:hangingChars="62"/>
        <w:jc w:val="center"/>
        <w:rPr>
          <w:rFonts w:hint="eastAsia" w:ascii="宋体" w:hAnsi="宋体" w:cs="宋体"/>
          <w:sz w:val="36"/>
          <w:szCs w:val="36"/>
        </w:rPr>
      </w:pPr>
      <w:r>
        <w:rPr>
          <w:rFonts w:hint="eastAsia" w:ascii="宋体" w:hAnsi="宋体"/>
          <w:b/>
          <w:bCs/>
          <w:sz w:val="36"/>
          <w:szCs w:val="36"/>
          <w:lang w:val="en-US" w:eastAsia="zh-CN"/>
        </w:rPr>
        <w:t>进行招标</w:t>
      </w:r>
      <w:r>
        <w:rPr>
          <w:rFonts w:hint="eastAsia" w:ascii="宋体" w:hAnsi="宋体"/>
          <w:b/>
          <w:bCs/>
          <w:sz w:val="36"/>
          <w:szCs w:val="36"/>
        </w:rPr>
        <w:t>公告</w:t>
      </w:r>
    </w:p>
    <w:p w14:paraId="7EFFF169">
      <w:pPr>
        <w:ind w:right="199" w:rightChars="95"/>
        <w:jc w:val="left"/>
        <w:rPr>
          <w:rFonts w:hint="eastAsia" w:ascii="宋体" w:hAnsi="宋体"/>
          <w:b w:val="0"/>
          <w:bCs w:val="0"/>
          <w:sz w:val="24"/>
          <w:lang w:val="en-US" w:eastAsia="zh-CN"/>
        </w:rPr>
      </w:pPr>
    </w:p>
    <w:p w14:paraId="0117983C">
      <w:pPr>
        <w:numPr>
          <w:ilvl w:val="0"/>
          <w:numId w:val="0"/>
        </w:numPr>
        <w:ind w:left="120" w:leftChars="0"/>
        <w:jc w:val="left"/>
        <w:rPr>
          <w:rFonts w:hint="eastAsia" w:ascii="宋体" w:hAnsi="宋体"/>
          <w:sz w:val="24"/>
          <w:lang w:val="en-US" w:eastAsia="zh-CN"/>
        </w:rPr>
      </w:pPr>
      <w:r>
        <w:rPr>
          <w:rFonts w:hint="eastAsia" w:ascii="宋体" w:hAnsi="宋体"/>
          <w:sz w:val="24"/>
          <w:lang w:val="en-US" w:eastAsia="zh-CN"/>
        </w:rPr>
        <w:t>各潜在供应商：</w:t>
      </w:r>
    </w:p>
    <w:p w14:paraId="2A20D789">
      <w:pPr>
        <w:numPr>
          <w:ilvl w:val="0"/>
          <w:numId w:val="0"/>
        </w:numPr>
        <w:ind w:left="120" w:leftChars="0" w:firstLine="480" w:firstLineChars="200"/>
        <w:jc w:val="left"/>
        <w:rPr>
          <w:rFonts w:hint="eastAsia" w:ascii="宋体" w:hAnsi="宋体"/>
          <w:sz w:val="24"/>
          <w:lang w:val="en-US" w:eastAsia="zh-CN"/>
        </w:rPr>
      </w:pPr>
      <w:r>
        <w:rPr>
          <w:rFonts w:hint="eastAsia" w:ascii="宋体" w:hAnsi="宋体"/>
          <w:sz w:val="24"/>
          <w:lang w:val="en-US" w:eastAsia="zh-CN"/>
        </w:rPr>
        <w:t>我院拟对一批影像设备维保及搬迁服务进行招标采购，请具有合法合格资质的供应商将公司相关资料（公司资质、工程师资质、相关授权书、产品质量承诺书、服务内容、维保及搬迁方案、报价单等）密封后于封面上填写报价单位名称、报价项目名称、联系人及电话并加盖公章于2025年 10 月 21 日下午5点前送至或邮寄至广元市中医医院医学装备科。如未按要求的视为无效文件，逾期不再受理。</w:t>
      </w:r>
    </w:p>
    <w:p w14:paraId="4EA379E0">
      <w:pPr>
        <w:pStyle w:val="3"/>
        <w:bidi w:val="0"/>
        <w:ind w:left="-615" w:leftChars="-293" w:right="199" w:rightChars="95" w:firstLine="198" w:firstLineChars="82"/>
        <w:rPr>
          <w:rFonts w:hint="default" w:ascii="宋体" w:hAnsi="宋体" w:eastAsia="宋体" w:cs="Times New Roman"/>
          <w:b/>
          <w:bCs/>
          <w:kern w:val="2"/>
          <w:sz w:val="24"/>
          <w:szCs w:val="24"/>
          <w:lang w:val="en-US" w:eastAsia="zh-CN" w:bidi="ar-SA"/>
        </w:rPr>
      </w:pPr>
      <w:r>
        <w:rPr>
          <w:rFonts w:hint="eastAsia" w:ascii="宋体" w:hAnsi="宋体" w:eastAsia="宋体" w:cs="Times New Roman"/>
          <w:b/>
          <w:bCs/>
          <w:kern w:val="2"/>
          <w:sz w:val="24"/>
          <w:szCs w:val="24"/>
          <w:lang w:val="en-US" w:eastAsia="zh-CN" w:bidi="ar-SA"/>
        </w:rPr>
        <w:t>一、基本情况</w:t>
      </w:r>
    </w:p>
    <w:tbl>
      <w:tblPr>
        <w:tblStyle w:val="5"/>
        <w:tblW w:w="10017"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55"/>
        <w:gridCol w:w="1051"/>
        <w:gridCol w:w="1512"/>
        <w:gridCol w:w="2091"/>
        <w:gridCol w:w="1358"/>
        <w:gridCol w:w="567"/>
        <w:gridCol w:w="2077"/>
        <w:gridCol w:w="706"/>
      </w:tblGrid>
      <w:tr w14:paraId="1949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62" w:hRule="atLeast"/>
          <w:tblCellSpacing w:w="0" w:type="dxa"/>
          <w:jc w:val="center"/>
        </w:trPr>
        <w:tc>
          <w:tcPr>
            <w:tcW w:w="655" w:type="dxa"/>
            <w:shd w:val="clear" w:color="auto" w:fill="FFFFFF"/>
            <w:noWrap/>
            <w:tcMar>
              <w:top w:w="0" w:type="dxa"/>
              <w:left w:w="70" w:type="dxa"/>
              <w:right w:w="70" w:type="dxa"/>
            </w:tcMar>
            <w:vAlign w:val="center"/>
          </w:tcPr>
          <w:p w14:paraId="566B28E9">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序号</w:t>
            </w:r>
          </w:p>
        </w:tc>
        <w:tc>
          <w:tcPr>
            <w:tcW w:w="1051" w:type="dxa"/>
            <w:shd w:val="clear" w:color="auto" w:fill="FFFFFF"/>
            <w:noWrap/>
            <w:tcMar>
              <w:top w:w="0" w:type="dxa"/>
              <w:left w:w="70" w:type="dxa"/>
              <w:right w:w="70" w:type="dxa"/>
            </w:tcMar>
            <w:vAlign w:val="center"/>
          </w:tcPr>
          <w:p w14:paraId="4F5DE9CB">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设备名称</w:t>
            </w:r>
          </w:p>
        </w:tc>
        <w:tc>
          <w:tcPr>
            <w:tcW w:w="1512" w:type="dxa"/>
            <w:shd w:val="clear" w:color="auto" w:fill="FFFFFF"/>
            <w:noWrap/>
            <w:tcMar>
              <w:top w:w="0" w:type="dxa"/>
              <w:left w:w="70" w:type="dxa"/>
              <w:right w:w="70" w:type="dxa"/>
            </w:tcMar>
            <w:vAlign w:val="center"/>
          </w:tcPr>
          <w:p w14:paraId="19154DA5">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型号</w:t>
            </w:r>
          </w:p>
        </w:tc>
        <w:tc>
          <w:tcPr>
            <w:tcW w:w="2091" w:type="dxa"/>
            <w:shd w:val="clear" w:color="auto" w:fill="FFFFFF"/>
            <w:noWrap/>
            <w:tcMar>
              <w:top w:w="0" w:type="dxa"/>
              <w:left w:w="70" w:type="dxa"/>
              <w:right w:w="70" w:type="dxa"/>
            </w:tcMar>
            <w:vAlign w:val="center"/>
          </w:tcPr>
          <w:p w14:paraId="12F989C6">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设备现存地</w:t>
            </w:r>
          </w:p>
        </w:tc>
        <w:tc>
          <w:tcPr>
            <w:tcW w:w="1358" w:type="dxa"/>
            <w:shd w:val="clear" w:color="auto" w:fill="FFFFFF"/>
            <w:noWrap/>
            <w:tcMar>
              <w:top w:w="0" w:type="dxa"/>
              <w:left w:w="70" w:type="dxa"/>
              <w:right w:w="70" w:type="dxa"/>
            </w:tcMar>
            <w:vAlign w:val="center"/>
          </w:tcPr>
          <w:p w14:paraId="33991079">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设备搬迁目</w:t>
            </w:r>
          </w:p>
          <w:p w14:paraId="427F88F3">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的地</w:t>
            </w:r>
          </w:p>
        </w:tc>
        <w:tc>
          <w:tcPr>
            <w:tcW w:w="567" w:type="dxa"/>
            <w:shd w:val="clear" w:color="auto" w:fill="FFFFFF"/>
            <w:tcMar>
              <w:top w:w="0" w:type="dxa"/>
              <w:left w:w="70" w:type="dxa"/>
              <w:right w:w="70" w:type="dxa"/>
            </w:tcMar>
            <w:vAlign w:val="center"/>
          </w:tcPr>
          <w:p w14:paraId="7BA60F1E">
            <w:pPr>
              <w:widowControl/>
              <w:ind w:left="-418" w:leftChars="-199" w:firstLine="218" w:firstLineChars="91"/>
              <w:jc w:val="righ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2077" w:type="dxa"/>
            <w:shd w:val="clear" w:color="auto" w:fill="FFFFFF"/>
            <w:tcMar>
              <w:top w:w="0" w:type="dxa"/>
              <w:left w:w="70" w:type="dxa"/>
              <w:right w:w="70" w:type="dxa"/>
            </w:tcMar>
            <w:vAlign w:val="center"/>
          </w:tcPr>
          <w:p w14:paraId="46AC62D1">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维保</w:t>
            </w:r>
            <w:r>
              <w:rPr>
                <w:rFonts w:hint="eastAsia" w:ascii="宋体" w:hAnsi="宋体" w:eastAsia="宋体" w:cs="宋体"/>
                <w:kern w:val="0"/>
                <w:sz w:val="24"/>
                <w:szCs w:val="24"/>
                <w:lang w:val="en-US" w:eastAsia="zh-CN"/>
              </w:rPr>
              <w:t>服务</w:t>
            </w:r>
            <w:r>
              <w:rPr>
                <w:rFonts w:hint="eastAsia" w:ascii="宋体" w:hAnsi="宋体" w:eastAsia="宋体" w:cs="宋体"/>
                <w:kern w:val="0"/>
                <w:sz w:val="24"/>
                <w:szCs w:val="24"/>
              </w:rPr>
              <w:t>范围</w:t>
            </w:r>
          </w:p>
        </w:tc>
        <w:tc>
          <w:tcPr>
            <w:tcW w:w="706" w:type="dxa"/>
            <w:shd w:val="clear" w:color="auto" w:fill="FFFFFF"/>
            <w:tcMar>
              <w:top w:w="0" w:type="dxa"/>
              <w:left w:w="70" w:type="dxa"/>
              <w:right w:w="70" w:type="dxa"/>
            </w:tcMar>
            <w:vAlign w:val="center"/>
          </w:tcPr>
          <w:p w14:paraId="17094E03">
            <w:pPr>
              <w:widowControl/>
              <w:ind w:left="-418" w:leftChars="-199" w:firstLine="218" w:firstLineChars="91"/>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限价</w:t>
            </w:r>
          </w:p>
          <w:p w14:paraId="62FB5B08">
            <w:pPr>
              <w:pStyle w:val="2"/>
              <w:rPr>
                <w:rFonts w:hint="default"/>
                <w:lang w:val="en-US" w:eastAsia="zh-CN"/>
              </w:rPr>
            </w:pPr>
            <w:r>
              <w:rPr>
                <w:rFonts w:hint="eastAsia" w:ascii="宋体" w:hAnsi="宋体" w:eastAsia="宋体" w:cs="宋体"/>
                <w:color w:val="auto"/>
                <w:kern w:val="0"/>
                <w:sz w:val="24"/>
                <w:szCs w:val="24"/>
                <w:lang w:val="en-US" w:eastAsia="zh-CN" w:bidi="ar-SA"/>
              </w:rPr>
              <w:t>万元</w:t>
            </w:r>
          </w:p>
        </w:tc>
      </w:tr>
      <w:tr w14:paraId="6015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0" w:hRule="atLeast"/>
          <w:tblCellSpacing w:w="0" w:type="dxa"/>
          <w:jc w:val="center"/>
        </w:trPr>
        <w:tc>
          <w:tcPr>
            <w:tcW w:w="655" w:type="dxa"/>
            <w:shd w:val="clear" w:color="auto" w:fill="FFFFFF"/>
            <w:noWrap/>
            <w:tcMar>
              <w:top w:w="0" w:type="dxa"/>
              <w:left w:w="70" w:type="dxa"/>
              <w:right w:w="70" w:type="dxa"/>
            </w:tcMar>
            <w:vAlign w:val="center"/>
          </w:tcPr>
          <w:p w14:paraId="02DC2E97">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1051" w:type="dxa"/>
            <w:shd w:val="clear" w:color="auto" w:fill="FFFFFF"/>
            <w:noWrap/>
            <w:tcMar>
              <w:top w:w="0" w:type="dxa"/>
              <w:left w:w="70" w:type="dxa"/>
              <w:right w:w="70" w:type="dxa"/>
            </w:tcMar>
            <w:vAlign w:val="center"/>
          </w:tcPr>
          <w:p w14:paraId="12923C47">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DR</w:t>
            </w:r>
          </w:p>
        </w:tc>
        <w:tc>
          <w:tcPr>
            <w:tcW w:w="1512" w:type="dxa"/>
            <w:shd w:val="clear" w:color="auto" w:fill="FFFFFF"/>
            <w:noWrap/>
            <w:tcMar>
              <w:top w:w="0" w:type="dxa"/>
              <w:left w:w="70" w:type="dxa"/>
              <w:right w:w="70" w:type="dxa"/>
            </w:tcMar>
            <w:vAlign w:val="center"/>
          </w:tcPr>
          <w:p w14:paraId="34F8A427">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岛津</w:t>
            </w:r>
          </w:p>
          <w:p w14:paraId="6CA69926">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Uni-Vision</w:t>
            </w:r>
          </w:p>
        </w:tc>
        <w:tc>
          <w:tcPr>
            <w:tcW w:w="2091" w:type="dxa"/>
            <w:shd w:val="clear" w:color="auto" w:fill="FFFFFF"/>
            <w:noWrap/>
            <w:tcMar>
              <w:top w:w="0" w:type="dxa"/>
              <w:left w:w="70" w:type="dxa"/>
              <w:right w:w="70" w:type="dxa"/>
            </w:tcMar>
            <w:vAlign w:val="center"/>
          </w:tcPr>
          <w:p w14:paraId="3ED20802">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医学影像科一楼</w:t>
            </w:r>
          </w:p>
          <w:p w14:paraId="6D186734">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DR室（二）</w:t>
            </w:r>
          </w:p>
        </w:tc>
        <w:tc>
          <w:tcPr>
            <w:tcW w:w="1358" w:type="dxa"/>
            <w:shd w:val="clear" w:color="auto" w:fill="FFFFFF"/>
            <w:noWrap/>
            <w:tcMar>
              <w:top w:w="0" w:type="dxa"/>
              <w:left w:w="70" w:type="dxa"/>
              <w:right w:w="70" w:type="dxa"/>
            </w:tcMar>
            <w:vAlign w:val="center"/>
          </w:tcPr>
          <w:p w14:paraId="641F673B">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新门诊住院</w:t>
            </w:r>
          </w:p>
          <w:p w14:paraId="5538078C">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综合楼2楼</w:t>
            </w:r>
          </w:p>
        </w:tc>
        <w:tc>
          <w:tcPr>
            <w:tcW w:w="567" w:type="dxa"/>
            <w:shd w:val="clear" w:color="auto" w:fill="FFFFFF"/>
            <w:tcMar>
              <w:top w:w="0" w:type="dxa"/>
              <w:left w:w="70" w:type="dxa"/>
              <w:right w:w="70" w:type="dxa"/>
            </w:tcMar>
            <w:vAlign w:val="center"/>
          </w:tcPr>
          <w:p w14:paraId="6FD9ED9C">
            <w:pPr>
              <w:widowControl/>
              <w:ind w:left="-418" w:leftChars="-199" w:firstLine="218" w:firstLineChars="91"/>
              <w:jc w:val="right"/>
              <w:rPr>
                <w:rFonts w:hint="eastAsia" w:ascii="宋体" w:hAnsi="宋体" w:eastAsia="宋体" w:cs="宋体"/>
                <w:kern w:val="0"/>
                <w:sz w:val="24"/>
                <w:szCs w:val="24"/>
              </w:rPr>
            </w:pPr>
            <w:r>
              <w:rPr>
                <w:rFonts w:hint="eastAsia" w:ascii="宋体" w:hAnsi="宋体" w:eastAsia="宋体" w:cs="宋体"/>
                <w:kern w:val="0"/>
                <w:sz w:val="24"/>
                <w:szCs w:val="24"/>
              </w:rPr>
              <w:t>1台</w:t>
            </w:r>
          </w:p>
        </w:tc>
        <w:tc>
          <w:tcPr>
            <w:tcW w:w="2077" w:type="dxa"/>
            <w:shd w:val="clear" w:color="auto" w:fill="FFFFFF"/>
            <w:tcMar>
              <w:top w:w="0" w:type="dxa"/>
              <w:left w:w="70" w:type="dxa"/>
              <w:right w:w="70" w:type="dxa"/>
            </w:tcMar>
            <w:vAlign w:val="center"/>
          </w:tcPr>
          <w:p w14:paraId="07706A1B">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技术保（1</w:t>
            </w:r>
          </w:p>
          <w:p w14:paraId="1DE936C2">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年）含1次搬迁</w:t>
            </w:r>
          </w:p>
        </w:tc>
        <w:tc>
          <w:tcPr>
            <w:tcW w:w="706" w:type="dxa"/>
            <w:shd w:val="clear" w:color="auto" w:fill="FFFFFF"/>
            <w:tcMar>
              <w:top w:w="0" w:type="dxa"/>
              <w:left w:w="70" w:type="dxa"/>
              <w:right w:w="70" w:type="dxa"/>
            </w:tcMar>
            <w:vAlign w:val="center"/>
          </w:tcPr>
          <w:p w14:paraId="0563D4C1">
            <w:pPr>
              <w:widowControl/>
              <w:ind w:left="-418" w:leftChars="-199" w:firstLine="218" w:firstLineChars="9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r>
      <w:tr w14:paraId="294AD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1" w:hRule="atLeast"/>
          <w:tblCellSpacing w:w="0" w:type="dxa"/>
          <w:jc w:val="center"/>
        </w:trPr>
        <w:tc>
          <w:tcPr>
            <w:tcW w:w="655" w:type="dxa"/>
            <w:shd w:val="clear" w:color="auto" w:fill="FFFFFF"/>
            <w:noWrap/>
            <w:tcMar>
              <w:top w:w="0" w:type="dxa"/>
              <w:left w:w="70" w:type="dxa"/>
              <w:right w:w="70" w:type="dxa"/>
            </w:tcMar>
            <w:vAlign w:val="center"/>
          </w:tcPr>
          <w:p w14:paraId="2D365DF1">
            <w:pPr>
              <w:widowControl/>
              <w:ind w:left="-418" w:leftChars="-199" w:firstLine="218" w:firstLineChars="9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1051" w:type="dxa"/>
            <w:shd w:val="clear" w:color="auto" w:fill="FFFFFF"/>
            <w:noWrap/>
            <w:tcMar>
              <w:top w:w="0" w:type="dxa"/>
              <w:left w:w="70" w:type="dxa"/>
              <w:right w:w="70" w:type="dxa"/>
            </w:tcMar>
            <w:vAlign w:val="center"/>
          </w:tcPr>
          <w:p w14:paraId="74D2CA64">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DSA</w:t>
            </w:r>
          </w:p>
        </w:tc>
        <w:tc>
          <w:tcPr>
            <w:tcW w:w="1512" w:type="dxa"/>
            <w:shd w:val="clear" w:color="auto" w:fill="FFFFFF"/>
            <w:noWrap/>
            <w:tcMar>
              <w:top w:w="0" w:type="dxa"/>
              <w:left w:w="70" w:type="dxa"/>
              <w:right w:w="70" w:type="dxa"/>
            </w:tcMar>
            <w:vAlign w:val="center"/>
          </w:tcPr>
          <w:p w14:paraId="383943A1">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飞利浦</w:t>
            </w:r>
          </w:p>
          <w:p w14:paraId="5A6FE058">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FD20</w:t>
            </w:r>
          </w:p>
        </w:tc>
        <w:tc>
          <w:tcPr>
            <w:tcW w:w="2091" w:type="dxa"/>
            <w:shd w:val="clear" w:color="auto" w:fill="FFFFFF"/>
            <w:noWrap/>
            <w:tcMar>
              <w:top w:w="0" w:type="dxa"/>
              <w:left w:w="70" w:type="dxa"/>
              <w:right w:w="70" w:type="dxa"/>
            </w:tcMar>
            <w:vAlign w:val="center"/>
          </w:tcPr>
          <w:p w14:paraId="3442FD32">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第一住院楼1楼</w:t>
            </w:r>
          </w:p>
        </w:tc>
        <w:tc>
          <w:tcPr>
            <w:tcW w:w="1358" w:type="dxa"/>
            <w:shd w:val="clear" w:color="auto" w:fill="FFFFFF"/>
            <w:noWrap/>
            <w:tcMar>
              <w:top w:w="0" w:type="dxa"/>
              <w:left w:w="70" w:type="dxa"/>
              <w:right w:w="70" w:type="dxa"/>
            </w:tcMar>
            <w:vAlign w:val="center"/>
          </w:tcPr>
          <w:p w14:paraId="72A59847">
            <w:pPr>
              <w:widowControl/>
              <w:ind w:left="-418" w:leftChars="-199" w:firstLine="218" w:firstLineChars="91"/>
              <w:jc w:val="center"/>
              <w:rPr>
                <w:rFonts w:hint="eastAsia" w:ascii="宋体" w:hAnsi="宋体" w:eastAsia="宋体" w:cs="宋体"/>
                <w:kern w:val="0"/>
                <w:sz w:val="24"/>
                <w:szCs w:val="24"/>
              </w:rPr>
            </w:pPr>
          </w:p>
        </w:tc>
        <w:tc>
          <w:tcPr>
            <w:tcW w:w="567" w:type="dxa"/>
            <w:shd w:val="clear" w:color="auto" w:fill="FFFFFF"/>
            <w:tcMar>
              <w:top w:w="0" w:type="dxa"/>
              <w:left w:w="70" w:type="dxa"/>
              <w:right w:w="70" w:type="dxa"/>
            </w:tcMar>
            <w:vAlign w:val="center"/>
          </w:tcPr>
          <w:p w14:paraId="59760866">
            <w:pPr>
              <w:widowControl/>
              <w:ind w:left="-418" w:leftChars="-199" w:firstLine="218" w:firstLineChars="91"/>
              <w:jc w:val="right"/>
              <w:rPr>
                <w:rFonts w:hint="eastAsia" w:ascii="宋体" w:hAnsi="宋体" w:eastAsia="宋体" w:cs="宋体"/>
                <w:kern w:val="0"/>
                <w:sz w:val="24"/>
                <w:szCs w:val="24"/>
              </w:rPr>
            </w:pPr>
            <w:r>
              <w:rPr>
                <w:rFonts w:hint="eastAsia" w:ascii="宋体" w:hAnsi="宋体" w:eastAsia="宋体" w:cs="宋体"/>
                <w:kern w:val="0"/>
                <w:sz w:val="24"/>
                <w:szCs w:val="24"/>
              </w:rPr>
              <w:t>1台</w:t>
            </w:r>
          </w:p>
        </w:tc>
        <w:tc>
          <w:tcPr>
            <w:tcW w:w="2077" w:type="dxa"/>
            <w:shd w:val="clear" w:color="auto" w:fill="FFFFFF"/>
            <w:tcMar>
              <w:top w:w="0" w:type="dxa"/>
              <w:left w:w="70" w:type="dxa"/>
              <w:right w:w="70" w:type="dxa"/>
            </w:tcMar>
            <w:vAlign w:val="center"/>
          </w:tcPr>
          <w:p w14:paraId="0EC56CC1">
            <w:pPr>
              <w:widowControl/>
              <w:ind w:left="-418" w:leftChars="-199" w:firstLine="218" w:firstLineChars="91"/>
              <w:jc w:val="center"/>
              <w:rPr>
                <w:rFonts w:hint="eastAsia" w:ascii="宋体" w:hAnsi="宋体" w:eastAsia="宋体" w:cs="宋体"/>
                <w:kern w:val="0"/>
                <w:sz w:val="24"/>
                <w:szCs w:val="24"/>
                <w:lang w:eastAsia="zh-CN"/>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整机技术保1年</w:t>
            </w:r>
          </w:p>
          <w:p w14:paraId="3591763B">
            <w:pPr>
              <w:widowControl/>
              <w:ind w:left="-418" w:leftChars="-199" w:firstLine="218" w:firstLineChars="91"/>
              <w:jc w:val="center"/>
              <w:rPr>
                <w:rFonts w:hint="eastAsia" w:ascii="宋体" w:hAnsi="宋体" w:eastAsia="宋体" w:cs="宋体"/>
                <w:kern w:val="0"/>
                <w:sz w:val="24"/>
                <w:szCs w:val="24"/>
                <w:lang w:val="en-US" w:eastAsia="zh-CN"/>
              </w:rPr>
            </w:pPr>
            <w:r>
              <w:rPr>
                <w:rFonts w:hint="eastAsia" w:ascii="宋体" w:hAnsi="宋体" w:cs="宋体"/>
                <w:kern w:val="0"/>
                <w:sz w:val="24"/>
                <w:szCs w:val="24"/>
                <w:lang w:eastAsia="zh-CN"/>
              </w:rPr>
              <w:t>（</w:t>
            </w:r>
            <w:r>
              <w:rPr>
                <w:rFonts w:hint="eastAsia" w:ascii="宋体" w:hAnsi="宋体" w:eastAsia="宋体" w:cs="宋体"/>
                <w:kern w:val="0"/>
                <w:sz w:val="24"/>
                <w:szCs w:val="24"/>
              </w:rPr>
              <w:t>含</w:t>
            </w:r>
            <w:r>
              <w:rPr>
                <w:rFonts w:hint="eastAsia" w:ascii="宋体" w:hAnsi="宋体" w:cs="宋体"/>
                <w:kern w:val="0"/>
                <w:sz w:val="24"/>
                <w:szCs w:val="24"/>
                <w:lang w:val="en-US" w:eastAsia="zh-CN"/>
              </w:rPr>
              <w:t>4</w:t>
            </w:r>
            <w:r>
              <w:rPr>
                <w:rFonts w:hint="eastAsia" w:ascii="宋体" w:hAnsi="宋体" w:eastAsia="宋体" w:cs="宋体"/>
                <w:kern w:val="0"/>
                <w:sz w:val="24"/>
                <w:szCs w:val="24"/>
              </w:rPr>
              <w:t>次保养及</w:t>
            </w:r>
            <w:r>
              <w:rPr>
                <w:rFonts w:hint="eastAsia" w:ascii="宋体" w:hAnsi="宋体" w:cs="宋体"/>
                <w:kern w:val="0"/>
                <w:sz w:val="24"/>
                <w:szCs w:val="24"/>
                <w:lang w:val="en-US" w:eastAsia="zh-CN"/>
              </w:rPr>
              <w:t>人</w:t>
            </w:r>
          </w:p>
          <w:p w14:paraId="2E02AE9E">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工叫修不限次数）</w:t>
            </w:r>
          </w:p>
        </w:tc>
        <w:tc>
          <w:tcPr>
            <w:tcW w:w="706" w:type="dxa"/>
            <w:shd w:val="clear" w:color="auto" w:fill="FFFFFF"/>
            <w:tcMar>
              <w:top w:w="0" w:type="dxa"/>
              <w:left w:w="70" w:type="dxa"/>
              <w:right w:w="70" w:type="dxa"/>
            </w:tcMar>
            <w:vAlign w:val="center"/>
          </w:tcPr>
          <w:p w14:paraId="51EB0E3A">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p>
        </w:tc>
      </w:tr>
      <w:tr w14:paraId="0857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71" w:hRule="atLeast"/>
          <w:tblCellSpacing w:w="0" w:type="dxa"/>
          <w:jc w:val="center"/>
        </w:trPr>
        <w:tc>
          <w:tcPr>
            <w:tcW w:w="655" w:type="dxa"/>
            <w:shd w:val="clear" w:color="auto" w:fill="FFFFFF"/>
            <w:noWrap/>
            <w:tcMar>
              <w:top w:w="0" w:type="dxa"/>
              <w:left w:w="70" w:type="dxa"/>
              <w:right w:w="70" w:type="dxa"/>
            </w:tcMar>
            <w:vAlign w:val="center"/>
          </w:tcPr>
          <w:p w14:paraId="05D22C3F">
            <w:pPr>
              <w:widowControl/>
              <w:ind w:left="-418" w:leftChars="-199" w:firstLine="218" w:firstLineChars="9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1051" w:type="dxa"/>
            <w:shd w:val="clear" w:color="auto" w:fill="FFFFFF"/>
            <w:noWrap/>
            <w:tcMar>
              <w:top w:w="0" w:type="dxa"/>
              <w:left w:w="70" w:type="dxa"/>
              <w:right w:w="70" w:type="dxa"/>
            </w:tcMar>
            <w:vAlign w:val="center"/>
          </w:tcPr>
          <w:p w14:paraId="3D5072C7">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CT</w:t>
            </w:r>
          </w:p>
        </w:tc>
        <w:tc>
          <w:tcPr>
            <w:tcW w:w="1512" w:type="dxa"/>
            <w:shd w:val="clear" w:color="auto" w:fill="FFFFFF"/>
            <w:noWrap/>
            <w:tcMar>
              <w:top w:w="0" w:type="dxa"/>
              <w:left w:w="70" w:type="dxa"/>
              <w:right w:w="70" w:type="dxa"/>
            </w:tcMar>
            <w:vAlign w:val="center"/>
          </w:tcPr>
          <w:p w14:paraId="056A8E80">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飞利浦</w:t>
            </w:r>
          </w:p>
          <w:p w14:paraId="115A2CDF">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Incisive CT</w:t>
            </w:r>
          </w:p>
        </w:tc>
        <w:tc>
          <w:tcPr>
            <w:tcW w:w="2091" w:type="dxa"/>
            <w:shd w:val="clear" w:color="auto" w:fill="FFFFFF"/>
            <w:noWrap/>
            <w:tcMar>
              <w:top w:w="0" w:type="dxa"/>
              <w:left w:w="70" w:type="dxa"/>
              <w:right w:w="70" w:type="dxa"/>
            </w:tcMar>
            <w:vAlign w:val="center"/>
          </w:tcPr>
          <w:p w14:paraId="324FBF13">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第一住院楼1楼</w:t>
            </w:r>
          </w:p>
        </w:tc>
        <w:tc>
          <w:tcPr>
            <w:tcW w:w="1358" w:type="dxa"/>
            <w:shd w:val="clear" w:color="auto" w:fill="FFFFFF"/>
            <w:noWrap/>
            <w:tcMar>
              <w:top w:w="0" w:type="dxa"/>
              <w:left w:w="70" w:type="dxa"/>
              <w:right w:w="70" w:type="dxa"/>
            </w:tcMar>
            <w:vAlign w:val="center"/>
          </w:tcPr>
          <w:p w14:paraId="2E6B4ABF">
            <w:pPr>
              <w:widowControl/>
              <w:ind w:left="-418" w:leftChars="-199" w:firstLine="218" w:firstLineChars="91"/>
              <w:jc w:val="center"/>
              <w:rPr>
                <w:rFonts w:hint="eastAsia" w:ascii="宋体" w:hAnsi="宋体" w:eastAsia="宋体" w:cs="宋体"/>
                <w:kern w:val="0"/>
                <w:sz w:val="24"/>
                <w:szCs w:val="24"/>
              </w:rPr>
            </w:pPr>
          </w:p>
        </w:tc>
        <w:tc>
          <w:tcPr>
            <w:tcW w:w="567" w:type="dxa"/>
            <w:shd w:val="clear" w:color="auto" w:fill="FFFFFF"/>
            <w:tcMar>
              <w:top w:w="0" w:type="dxa"/>
              <w:left w:w="70" w:type="dxa"/>
              <w:right w:w="70" w:type="dxa"/>
            </w:tcMar>
            <w:vAlign w:val="center"/>
          </w:tcPr>
          <w:p w14:paraId="269A2065">
            <w:pPr>
              <w:widowControl/>
              <w:ind w:left="-418" w:leftChars="-199" w:firstLine="218" w:firstLineChars="91"/>
              <w:jc w:val="right"/>
              <w:rPr>
                <w:rFonts w:hint="eastAsia" w:ascii="宋体" w:hAnsi="宋体" w:eastAsia="宋体" w:cs="宋体"/>
                <w:kern w:val="0"/>
                <w:sz w:val="24"/>
                <w:szCs w:val="24"/>
              </w:rPr>
            </w:pPr>
            <w:r>
              <w:rPr>
                <w:rFonts w:hint="eastAsia" w:ascii="宋体" w:hAnsi="宋体" w:eastAsia="宋体" w:cs="宋体"/>
                <w:kern w:val="0"/>
                <w:sz w:val="24"/>
                <w:szCs w:val="24"/>
              </w:rPr>
              <w:t>1台</w:t>
            </w:r>
          </w:p>
        </w:tc>
        <w:tc>
          <w:tcPr>
            <w:tcW w:w="2077" w:type="dxa"/>
            <w:shd w:val="clear" w:color="auto" w:fill="FFFFFF"/>
            <w:tcMar>
              <w:top w:w="0" w:type="dxa"/>
              <w:left w:w="70" w:type="dxa"/>
              <w:right w:w="70" w:type="dxa"/>
            </w:tcMar>
            <w:vAlign w:val="center"/>
          </w:tcPr>
          <w:p w14:paraId="6500CCB7">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整机技术保1年</w:t>
            </w:r>
          </w:p>
          <w:p w14:paraId="0807EA71">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eastAsia="zh-CN"/>
              </w:rPr>
              <w:t>（</w:t>
            </w:r>
            <w:r>
              <w:rPr>
                <w:rFonts w:hint="eastAsia" w:ascii="宋体" w:hAnsi="宋体" w:eastAsia="宋体" w:cs="宋体"/>
                <w:kern w:val="0"/>
                <w:sz w:val="24"/>
                <w:szCs w:val="24"/>
              </w:rPr>
              <w:t>含4次保养及人</w:t>
            </w:r>
          </w:p>
          <w:p w14:paraId="72661E72">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工叫修不限次数）</w:t>
            </w:r>
          </w:p>
        </w:tc>
        <w:tc>
          <w:tcPr>
            <w:tcW w:w="706" w:type="dxa"/>
            <w:shd w:val="clear" w:color="auto" w:fill="FFFFFF"/>
            <w:tcMar>
              <w:top w:w="0" w:type="dxa"/>
              <w:left w:w="70" w:type="dxa"/>
              <w:right w:w="70" w:type="dxa"/>
            </w:tcMar>
            <w:vAlign w:val="center"/>
          </w:tcPr>
          <w:p w14:paraId="167DCE5A">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p>
        </w:tc>
      </w:tr>
      <w:tr w14:paraId="3452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7" w:hRule="atLeast"/>
          <w:tblCellSpacing w:w="0" w:type="dxa"/>
          <w:jc w:val="center"/>
        </w:trPr>
        <w:tc>
          <w:tcPr>
            <w:tcW w:w="655" w:type="dxa"/>
            <w:shd w:val="clear" w:color="auto" w:fill="FFFFFF"/>
            <w:noWrap/>
            <w:tcMar>
              <w:top w:w="0" w:type="dxa"/>
              <w:left w:w="70" w:type="dxa"/>
              <w:right w:w="70" w:type="dxa"/>
            </w:tcMar>
            <w:vAlign w:val="center"/>
          </w:tcPr>
          <w:p w14:paraId="2E6A7F9C">
            <w:pPr>
              <w:widowControl/>
              <w:ind w:left="-418" w:leftChars="-199" w:firstLine="218" w:firstLineChars="9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1051" w:type="dxa"/>
            <w:shd w:val="clear" w:color="auto" w:fill="FFFFFF"/>
            <w:noWrap/>
            <w:tcMar>
              <w:top w:w="0" w:type="dxa"/>
              <w:left w:w="70" w:type="dxa"/>
              <w:right w:w="70" w:type="dxa"/>
            </w:tcMar>
            <w:vAlign w:val="center"/>
          </w:tcPr>
          <w:p w14:paraId="6FD60B5D">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牙片机</w:t>
            </w:r>
          </w:p>
        </w:tc>
        <w:tc>
          <w:tcPr>
            <w:tcW w:w="1512" w:type="dxa"/>
            <w:shd w:val="clear" w:color="auto" w:fill="FFFFFF"/>
            <w:noWrap/>
            <w:tcMar>
              <w:top w:w="0" w:type="dxa"/>
              <w:left w:w="70" w:type="dxa"/>
              <w:right w:w="70" w:type="dxa"/>
            </w:tcMar>
            <w:vAlign w:val="center"/>
          </w:tcPr>
          <w:p w14:paraId="7BA82A9A">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Smart3D</w:t>
            </w:r>
          </w:p>
        </w:tc>
        <w:tc>
          <w:tcPr>
            <w:tcW w:w="2091" w:type="dxa"/>
            <w:shd w:val="clear" w:color="auto" w:fill="FFFFFF"/>
            <w:noWrap/>
            <w:tcMar>
              <w:top w:w="0" w:type="dxa"/>
              <w:left w:w="70" w:type="dxa"/>
              <w:right w:w="70" w:type="dxa"/>
            </w:tcMar>
            <w:vAlign w:val="center"/>
          </w:tcPr>
          <w:p w14:paraId="3F98401A">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医学影像科一楼</w:t>
            </w:r>
          </w:p>
        </w:tc>
        <w:tc>
          <w:tcPr>
            <w:tcW w:w="1358" w:type="dxa"/>
            <w:shd w:val="clear" w:color="auto" w:fill="FFFFFF"/>
            <w:noWrap/>
            <w:tcMar>
              <w:top w:w="0" w:type="dxa"/>
              <w:left w:w="70" w:type="dxa"/>
              <w:right w:w="70" w:type="dxa"/>
            </w:tcMar>
            <w:vAlign w:val="center"/>
          </w:tcPr>
          <w:p w14:paraId="750DFA36">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新门诊住院</w:t>
            </w:r>
          </w:p>
          <w:p w14:paraId="6ADE65CE">
            <w:pPr>
              <w:widowControl/>
              <w:ind w:left="-418" w:leftChars="-199" w:firstLine="218" w:firstLineChars="91"/>
              <w:jc w:val="center"/>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综合楼2楼</w:t>
            </w:r>
          </w:p>
        </w:tc>
        <w:tc>
          <w:tcPr>
            <w:tcW w:w="567" w:type="dxa"/>
            <w:shd w:val="clear" w:color="auto" w:fill="FFFFFF"/>
            <w:tcMar>
              <w:top w:w="0" w:type="dxa"/>
              <w:left w:w="70" w:type="dxa"/>
              <w:right w:w="70" w:type="dxa"/>
            </w:tcMar>
            <w:vAlign w:val="center"/>
          </w:tcPr>
          <w:p w14:paraId="2EDC8FC6">
            <w:pPr>
              <w:widowControl/>
              <w:ind w:left="-418" w:leftChars="-199" w:firstLine="218" w:firstLineChars="91"/>
              <w:jc w:val="right"/>
              <w:rPr>
                <w:rFonts w:hint="eastAsia" w:ascii="宋体" w:hAnsi="宋体" w:eastAsia="宋体" w:cs="宋体"/>
                <w:kern w:val="0"/>
                <w:sz w:val="24"/>
                <w:szCs w:val="24"/>
              </w:rPr>
            </w:pPr>
            <w:r>
              <w:rPr>
                <w:rFonts w:hint="eastAsia" w:ascii="宋体" w:hAnsi="宋体" w:eastAsia="宋体" w:cs="宋体"/>
                <w:kern w:val="0"/>
                <w:sz w:val="24"/>
                <w:szCs w:val="24"/>
              </w:rPr>
              <w:t>1台</w:t>
            </w:r>
          </w:p>
        </w:tc>
        <w:tc>
          <w:tcPr>
            <w:tcW w:w="2077" w:type="dxa"/>
            <w:shd w:val="clear" w:color="auto" w:fill="FFFFFF"/>
            <w:tcMar>
              <w:top w:w="0" w:type="dxa"/>
              <w:left w:w="70" w:type="dxa"/>
              <w:right w:w="70" w:type="dxa"/>
            </w:tcMar>
            <w:vAlign w:val="center"/>
          </w:tcPr>
          <w:p w14:paraId="29598E15">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rPr>
              <w:t>搬迁</w:t>
            </w:r>
          </w:p>
        </w:tc>
        <w:tc>
          <w:tcPr>
            <w:tcW w:w="706" w:type="dxa"/>
            <w:shd w:val="clear" w:color="auto" w:fill="FFFFFF"/>
            <w:tcMar>
              <w:top w:w="0" w:type="dxa"/>
              <w:left w:w="70" w:type="dxa"/>
              <w:right w:w="70" w:type="dxa"/>
            </w:tcMar>
            <w:vAlign w:val="center"/>
          </w:tcPr>
          <w:p w14:paraId="4E9E48B6">
            <w:pPr>
              <w:widowControl/>
              <w:ind w:left="-418" w:leftChars="-199" w:firstLine="218" w:firstLineChars="91"/>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0.6</w:t>
            </w:r>
          </w:p>
        </w:tc>
      </w:tr>
      <w:tr w14:paraId="76BB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2" w:hRule="atLeast"/>
          <w:tblCellSpacing w:w="0" w:type="dxa"/>
          <w:jc w:val="center"/>
        </w:trPr>
        <w:tc>
          <w:tcPr>
            <w:tcW w:w="6667" w:type="dxa"/>
            <w:gridSpan w:val="5"/>
            <w:shd w:val="clear" w:color="auto" w:fill="FFFFFF"/>
            <w:noWrap/>
            <w:tcMar>
              <w:top w:w="0" w:type="dxa"/>
              <w:left w:w="70" w:type="dxa"/>
              <w:right w:w="70" w:type="dxa"/>
            </w:tcMar>
            <w:vAlign w:val="center"/>
          </w:tcPr>
          <w:p w14:paraId="1D90DB67">
            <w:pPr>
              <w:widowControl/>
              <w:ind w:left="-418" w:leftChars="-199" w:firstLine="218" w:firstLineChars="9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数量合计</w:t>
            </w:r>
          </w:p>
        </w:tc>
        <w:tc>
          <w:tcPr>
            <w:tcW w:w="567" w:type="dxa"/>
            <w:shd w:val="clear" w:color="auto" w:fill="FFFFFF"/>
            <w:tcMar>
              <w:top w:w="0" w:type="dxa"/>
              <w:left w:w="70" w:type="dxa"/>
              <w:right w:w="70" w:type="dxa"/>
            </w:tcMar>
            <w:vAlign w:val="center"/>
          </w:tcPr>
          <w:p w14:paraId="46ABA576">
            <w:pPr>
              <w:widowControl/>
              <w:ind w:left="-418" w:leftChars="-199" w:firstLine="218" w:firstLineChars="91"/>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4台</w:t>
            </w:r>
          </w:p>
        </w:tc>
        <w:tc>
          <w:tcPr>
            <w:tcW w:w="2077" w:type="dxa"/>
            <w:shd w:val="clear" w:color="auto" w:fill="FFFFFF"/>
            <w:tcMar>
              <w:top w:w="0" w:type="dxa"/>
              <w:left w:w="70" w:type="dxa"/>
              <w:right w:w="70" w:type="dxa"/>
            </w:tcMar>
            <w:vAlign w:val="center"/>
          </w:tcPr>
          <w:p w14:paraId="78824334">
            <w:pPr>
              <w:widowControl/>
              <w:ind w:left="-418" w:leftChars="-199" w:firstLine="218" w:firstLineChars="91"/>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费用</w:t>
            </w:r>
            <w:r>
              <w:rPr>
                <w:rFonts w:hint="eastAsia" w:ascii="宋体" w:hAnsi="宋体" w:eastAsia="宋体" w:cs="宋体"/>
                <w:kern w:val="0"/>
                <w:sz w:val="24"/>
                <w:szCs w:val="24"/>
                <w:lang w:val="en-US" w:eastAsia="zh-CN"/>
              </w:rPr>
              <w:t>合计</w:t>
            </w:r>
          </w:p>
        </w:tc>
        <w:tc>
          <w:tcPr>
            <w:tcW w:w="706" w:type="dxa"/>
            <w:shd w:val="clear" w:color="auto" w:fill="FFFFFF"/>
            <w:tcMar>
              <w:top w:w="0" w:type="dxa"/>
              <w:left w:w="70" w:type="dxa"/>
              <w:right w:w="70" w:type="dxa"/>
            </w:tcMar>
            <w:vAlign w:val="center"/>
          </w:tcPr>
          <w:p w14:paraId="4FC08CCA">
            <w:pPr>
              <w:widowControl/>
              <w:ind w:left="-418" w:leftChars="-199" w:firstLine="218" w:firstLineChars="9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13.6</w:t>
            </w:r>
          </w:p>
        </w:tc>
      </w:tr>
    </w:tbl>
    <w:p w14:paraId="7146851C">
      <w:pPr>
        <w:pStyle w:val="2"/>
        <w:rPr>
          <w:rFonts w:hint="eastAsia"/>
          <w:lang w:val="en-US" w:eastAsia="zh-CN"/>
        </w:rPr>
      </w:pPr>
    </w:p>
    <w:p w14:paraId="5F7CE844">
      <w:pPr>
        <w:rPr>
          <w:rFonts w:hint="eastAsia"/>
          <w:lang w:val="en-US" w:eastAsia="zh-CN"/>
        </w:rPr>
      </w:pPr>
    </w:p>
    <w:p w14:paraId="48B8CEAC">
      <w:pPr>
        <w:pStyle w:val="2"/>
        <w:rPr>
          <w:rFonts w:hint="eastAsia"/>
          <w:lang w:val="en-US" w:eastAsia="zh-CN"/>
        </w:rPr>
      </w:pPr>
    </w:p>
    <w:p w14:paraId="3E7D4471">
      <w:pPr>
        <w:numPr>
          <w:ilvl w:val="0"/>
          <w:numId w:val="0"/>
        </w:numPr>
        <w:jc w:val="left"/>
        <w:rPr>
          <w:rFonts w:hint="eastAsia" w:ascii="宋体" w:hAnsi="宋体"/>
          <w:b/>
          <w:bCs/>
          <w:sz w:val="24"/>
          <w:lang w:val="en-US" w:eastAsia="zh-CN"/>
        </w:rPr>
      </w:pPr>
    </w:p>
    <w:p w14:paraId="03AD7B65">
      <w:pPr>
        <w:numPr>
          <w:ilvl w:val="0"/>
          <w:numId w:val="0"/>
        </w:numPr>
        <w:jc w:val="left"/>
        <w:rPr>
          <w:rFonts w:hint="eastAsia" w:ascii="宋体" w:hAnsi="宋体"/>
          <w:sz w:val="24"/>
        </w:rPr>
      </w:pPr>
      <w:r>
        <w:rPr>
          <w:rFonts w:hint="eastAsia" w:ascii="宋体" w:hAnsi="宋体"/>
          <w:b/>
          <w:bCs/>
          <w:sz w:val="24"/>
          <w:lang w:val="en-US" w:eastAsia="zh-CN"/>
        </w:rPr>
        <w:t>二、</w:t>
      </w:r>
      <w:r>
        <w:rPr>
          <w:rFonts w:hint="eastAsia" w:ascii="宋体" w:hAnsi="宋体"/>
          <w:b/>
          <w:bCs/>
          <w:sz w:val="24"/>
        </w:rPr>
        <w:t>服务要求</w:t>
      </w:r>
    </w:p>
    <w:p w14:paraId="1D985D82">
      <w:pPr>
        <w:numPr>
          <w:ilvl w:val="0"/>
          <w:numId w:val="0"/>
        </w:numPr>
        <w:jc w:val="left"/>
        <w:rPr>
          <w:rFonts w:hint="default" w:ascii="宋体" w:hAnsi="宋体"/>
          <w:sz w:val="24"/>
          <w:lang w:val="en-US" w:eastAsia="zh-CN"/>
        </w:rPr>
      </w:pPr>
      <w:r>
        <w:rPr>
          <w:rFonts w:hint="eastAsia" w:ascii="宋体" w:hAnsi="宋体"/>
          <w:sz w:val="24"/>
          <w:lang w:val="en-US" w:eastAsia="zh-CN"/>
        </w:rPr>
        <w:t xml:space="preserve"> 商务要求见附件（一）、搬迁服务要求见附件（二）、维保服务要求见附件（三）</w:t>
      </w:r>
    </w:p>
    <w:p w14:paraId="78595FD1">
      <w:pPr>
        <w:numPr>
          <w:ilvl w:val="0"/>
          <w:numId w:val="0"/>
        </w:numPr>
        <w:jc w:val="left"/>
        <w:rPr>
          <w:rFonts w:hint="eastAsia" w:ascii="宋体" w:hAnsi="宋体"/>
          <w:b/>
          <w:bCs/>
          <w:sz w:val="24"/>
          <w:lang w:val="en-US" w:eastAsia="zh-CN"/>
        </w:rPr>
      </w:pPr>
      <w:r>
        <w:rPr>
          <w:rFonts w:hint="eastAsia" w:ascii="宋体" w:hAnsi="宋体"/>
          <w:b/>
          <w:bCs/>
          <w:sz w:val="24"/>
          <w:lang w:val="en-US" w:eastAsia="zh-CN"/>
        </w:rPr>
        <w:t>三、招标控制价</w:t>
      </w:r>
    </w:p>
    <w:p w14:paraId="74F56C06">
      <w:pPr>
        <w:numPr>
          <w:ilvl w:val="0"/>
          <w:numId w:val="0"/>
        </w:numPr>
        <w:ind w:leftChars="0"/>
        <w:jc w:val="left"/>
        <w:rPr>
          <w:rFonts w:hint="eastAsia" w:ascii="宋体" w:hAnsi="宋体"/>
          <w:sz w:val="24"/>
          <w:lang w:val="en-US" w:eastAsia="zh-CN"/>
        </w:rPr>
      </w:pPr>
      <w:r>
        <w:rPr>
          <w:rFonts w:hint="eastAsia" w:ascii="宋体" w:hAnsi="宋体"/>
          <w:sz w:val="24"/>
          <w:lang w:val="en-US" w:eastAsia="zh-CN"/>
        </w:rPr>
        <w:t xml:space="preserve">  本项目招标控制价合计人民币：13.6万（单项控制价见 一、基本情况），高于控制价视为无效投标。</w:t>
      </w:r>
    </w:p>
    <w:p w14:paraId="3E603576">
      <w:pPr>
        <w:numPr>
          <w:ilvl w:val="0"/>
          <w:numId w:val="0"/>
        </w:numPr>
        <w:jc w:val="left"/>
        <w:rPr>
          <w:rFonts w:hint="eastAsia" w:ascii="宋体" w:hAnsi="宋体" w:eastAsia="宋体"/>
          <w:b/>
          <w:bCs/>
          <w:sz w:val="24"/>
          <w:lang w:eastAsia="zh-CN"/>
        </w:rPr>
      </w:pPr>
      <w:r>
        <w:rPr>
          <w:rFonts w:hint="eastAsia" w:ascii="宋体" w:hAnsi="宋体"/>
          <w:b/>
          <w:bCs/>
          <w:sz w:val="24"/>
          <w:lang w:val="en-US" w:eastAsia="zh-CN"/>
        </w:rPr>
        <w:t>四、</w:t>
      </w:r>
      <w:r>
        <w:rPr>
          <w:rFonts w:hint="eastAsia" w:ascii="宋体" w:hAnsi="宋体"/>
          <w:b/>
          <w:bCs/>
          <w:sz w:val="24"/>
        </w:rPr>
        <w:t>供应商参加本次</w:t>
      </w:r>
      <w:r>
        <w:rPr>
          <w:rFonts w:hint="eastAsia" w:ascii="宋体" w:hAnsi="宋体"/>
          <w:b/>
          <w:bCs/>
          <w:sz w:val="24"/>
          <w:lang w:val="en-US" w:eastAsia="zh-CN"/>
        </w:rPr>
        <w:t>招标采购</w:t>
      </w:r>
      <w:r>
        <w:rPr>
          <w:rFonts w:hint="eastAsia" w:ascii="宋体" w:hAnsi="宋体"/>
          <w:b/>
          <w:bCs/>
          <w:sz w:val="24"/>
        </w:rPr>
        <w:t>应具备下列条件</w:t>
      </w:r>
      <w:r>
        <w:rPr>
          <w:rFonts w:hint="eastAsia" w:ascii="宋体" w:hAnsi="宋体"/>
          <w:b/>
          <w:bCs/>
          <w:sz w:val="24"/>
          <w:lang w:eastAsia="zh-CN"/>
        </w:rPr>
        <w:t>（</w:t>
      </w:r>
      <w:r>
        <w:rPr>
          <w:rFonts w:hint="eastAsia" w:ascii="宋体" w:hAnsi="宋体"/>
          <w:b/>
          <w:bCs/>
          <w:sz w:val="24"/>
          <w:lang w:val="en-US" w:eastAsia="zh-CN"/>
        </w:rPr>
        <w:t>资格性条件为必须满足项</w:t>
      </w:r>
      <w:r>
        <w:rPr>
          <w:rFonts w:hint="eastAsia" w:ascii="宋体" w:hAnsi="宋体"/>
          <w:b/>
          <w:bCs/>
          <w:sz w:val="24"/>
          <w:lang w:eastAsia="zh-CN"/>
        </w:rPr>
        <w:t>）</w:t>
      </w:r>
    </w:p>
    <w:p w14:paraId="2788C0D4">
      <w:pPr>
        <w:numPr>
          <w:ilvl w:val="0"/>
          <w:numId w:val="1"/>
        </w:numPr>
        <w:ind w:left="120" w:leftChars="0" w:firstLine="0" w:firstLineChars="0"/>
        <w:jc w:val="left"/>
        <w:rPr>
          <w:rFonts w:hint="eastAsia" w:ascii="宋体" w:hAnsi="宋体"/>
          <w:sz w:val="24"/>
        </w:rPr>
      </w:pPr>
      <w:r>
        <w:rPr>
          <w:rFonts w:hint="eastAsia" w:ascii="宋体" w:hAnsi="宋体"/>
          <w:sz w:val="24"/>
        </w:rPr>
        <w:t xml:space="preserve">具有独立承担民事责任的能力。 </w:t>
      </w:r>
    </w:p>
    <w:p w14:paraId="7FAFFE64">
      <w:pPr>
        <w:numPr>
          <w:ilvl w:val="0"/>
          <w:numId w:val="1"/>
        </w:numPr>
        <w:ind w:left="120" w:leftChars="0" w:firstLine="0" w:firstLineChars="0"/>
        <w:jc w:val="left"/>
        <w:rPr>
          <w:rFonts w:hint="eastAsia" w:ascii="宋体" w:hAnsi="宋体"/>
          <w:sz w:val="24"/>
        </w:rPr>
      </w:pPr>
      <w:r>
        <w:rPr>
          <w:rFonts w:hint="eastAsia" w:ascii="宋体" w:hAnsi="宋体"/>
          <w:sz w:val="24"/>
        </w:rPr>
        <w:t>具有良好的商业信誉和健全的财务会计制度。</w:t>
      </w:r>
    </w:p>
    <w:p w14:paraId="7F2D9822">
      <w:pPr>
        <w:numPr>
          <w:ilvl w:val="0"/>
          <w:numId w:val="1"/>
        </w:numPr>
        <w:ind w:left="120" w:leftChars="0" w:firstLine="0" w:firstLineChars="0"/>
        <w:jc w:val="left"/>
        <w:rPr>
          <w:rFonts w:hint="eastAsia" w:ascii="宋体" w:hAnsi="宋体"/>
          <w:sz w:val="24"/>
        </w:rPr>
      </w:pPr>
      <w:r>
        <w:rPr>
          <w:rFonts w:hint="eastAsia" w:ascii="宋体" w:hAnsi="宋体"/>
          <w:sz w:val="24"/>
        </w:rPr>
        <w:t>具有履行合同所必须的设备和专业技术能力。</w:t>
      </w:r>
    </w:p>
    <w:p w14:paraId="74206729">
      <w:pPr>
        <w:numPr>
          <w:ilvl w:val="0"/>
          <w:numId w:val="1"/>
        </w:numPr>
        <w:ind w:left="120" w:leftChars="0" w:firstLine="0" w:firstLineChars="0"/>
        <w:jc w:val="left"/>
        <w:rPr>
          <w:rFonts w:hint="eastAsia" w:ascii="宋体" w:hAnsi="宋体"/>
          <w:sz w:val="24"/>
        </w:rPr>
      </w:pPr>
      <w:r>
        <w:rPr>
          <w:rFonts w:hint="eastAsia" w:ascii="宋体" w:hAnsi="宋体"/>
          <w:sz w:val="24"/>
        </w:rPr>
        <w:t>具有依法缴纳税收和社会保障资金的良好记录。</w:t>
      </w:r>
    </w:p>
    <w:p w14:paraId="4C764F94">
      <w:pPr>
        <w:numPr>
          <w:ilvl w:val="0"/>
          <w:numId w:val="1"/>
        </w:numPr>
        <w:ind w:left="120" w:leftChars="0" w:firstLine="0" w:firstLineChars="0"/>
        <w:jc w:val="left"/>
        <w:rPr>
          <w:rFonts w:hint="eastAsia" w:ascii="宋体" w:hAnsi="宋体"/>
          <w:sz w:val="24"/>
        </w:rPr>
      </w:pPr>
      <w:r>
        <w:rPr>
          <w:rFonts w:hint="eastAsia" w:ascii="宋体" w:hAnsi="宋体"/>
          <w:sz w:val="24"/>
        </w:rPr>
        <w:t xml:space="preserve">法律、行政法规规定的其他条件。 </w:t>
      </w:r>
    </w:p>
    <w:p w14:paraId="3A291329">
      <w:pPr>
        <w:numPr>
          <w:ilvl w:val="0"/>
          <w:numId w:val="1"/>
        </w:numPr>
        <w:ind w:left="120" w:leftChars="0" w:firstLine="0" w:firstLineChars="0"/>
        <w:jc w:val="left"/>
        <w:rPr>
          <w:rFonts w:hint="eastAsia" w:ascii="宋体" w:hAnsi="宋体"/>
          <w:sz w:val="24"/>
        </w:rPr>
      </w:pPr>
      <w:r>
        <w:rPr>
          <w:rFonts w:hint="eastAsia" w:ascii="宋体" w:hAnsi="宋体"/>
          <w:sz w:val="24"/>
        </w:rPr>
        <w:t>参加本次采购活动前三年内，在经营活动中没有重大违法记录。</w:t>
      </w:r>
    </w:p>
    <w:p w14:paraId="2CBE7F25">
      <w:pPr>
        <w:numPr>
          <w:ilvl w:val="0"/>
          <w:numId w:val="1"/>
        </w:numPr>
        <w:ind w:left="120" w:leftChars="0" w:firstLine="0" w:firstLineChars="0"/>
        <w:jc w:val="left"/>
        <w:rPr>
          <w:rFonts w:hint="eastAsia" w:ascii="宋体" w:hAnsi="宋体"/>
          <w:sz w:val="24"/>
        </w:rPr>
      </w:pPr>
      <w:r>
        <w:rPr>
          <w:rFonts w:hint="eastAsia" w:ascii="宋体" w:hAnsi="宋体"/>
          <w:sz w:val="24"/>
        </w:rPr>
        <w:t>本项目不接受联合体参与询价</w:t>
      </w:r>
      <w:r>
        <w:rPr>
          <w:rFonts w:hint="eastAsia" w:ascii="宋体" w:hAnsi="宋体"/>
          <w:sz w:val="24"/>
          <w:lang w:val="en-US" w:eastAsia="zh-CN"/>
        </w:rPr>
        <w:t>采购</w:t>
      </w:r>
      <w:r>
        <w:rPr>
          <w:rFonts w:hint="eastAsia" w:ascii="宋体" w:hAnsi="宋体"/>
          <w:sz w:val="24"/>
        </w:rPr>
        <w:t>。</w:t>
      </w:r>
    </w:p>
    <w:p w14:paraId="20593C91">
      <w:pPr>
        <w:numPr>
          <w:ilvl w:val="0"/>
          <w:numId w:val="1"/>
        </w:numPr>
        <w:ind w:left="120" w:leftChars="0" w:firstLine="0" w:firstLineChars="0"/>
        <w:jc w:val="left"/>
        <w:rPr>
          <w:rFonts w:hint="eastAsia" w:ascii="宋体" w:hAnsi="宋体"/>
          <w:sz w:val="24"/>
        </w:rPr>
      </w:pPr>
      <w:r>
        <w:rPr>
          <w:rFonts w:hint="eastAsia" w:ascii="宋体" w:hAnsi="宋体"/>
          <w:sz w:val="24"/>
        </w:rPr>
        <w:t>未被“信用中国”网站（www.creditchina.gov.cn）列入失信被执行人、重大税收违法案件当事人名单、政府采购严重失信行为记录名单。</w:t>
      </w:r>
    </w:p>
    <w:p w14:paraId="79D595C8">
      <w:pPr>
        <w:pStyle w:val="2"/>
        <w:numPr>
          <w:ilvl w:val="0"/>
          <w:numId w:val="1"/>
        </w:numPr>
        <w:bidi w:val="0"/>
        <w:ind w:left="120" w:leftChars="0" w:firstLine="0" w:firstLineChars="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供应商应具备第二类医疗器械经营备案凭证</w:t>
      </w:r>
      <w:r>
        <w:rPr>
          <w:rFonts w:hint="eastAsia" w:ascii="宋体" w:hAnsi="宋体" w:cs="Times New Roman"/>
          <w:color w:val="auto"/>
          <w:kern w:val="2"/>
          <w:sz w:val="24"/>
          <w:szCs w:val="24"/>
          <w:lang w:val="en-US" w:eastAsia="zh-CN" w:bidi="ar-SA"/>
        </w:rPr>
        <w:t>、医疗器械经营许可证</w:t>
      </w:r>
      <w:r>
        <w:rPr>
          <w:rFonts w:hint="eastAsia" w:ascii="宋体" w:hAnsi="宋体" w:eastAsia="宋体" w:cs="Times New Roman"/>
          <w:color w:val="auto"/>
          <w:kern w:val="2"/>
          <w:sz w:val="24"/>
          <w:szCs w:val="24"/>
          <w:lang w:val="en-US" w:eastAsia="zh-CN" w:bidi="ar-SA"/>
        </w:rPr>
        <w:t>。</w:t>
      </w:r>
    </w:p>
    <w:p w14:paraId="0BEF706C">
      <w:pPr>
        <w:numPr>
          <w:ilvl w:val="0"/>
          <w:numId w:val="2"/>
        </w:numPr>
        <w:ind w:leftChars="0"/>
        <w:jc w:val="left"/>
        <w:rPr>
          <w:rFonts w:hint="eastAsia" w:ascii="宋体" w:hAnsi="宋体"/>
          <w:b/>
          <w:bCs/>
          <w:sz w:val="24"/>
          <w:lang w:val="en-US" w:eastAsia="zh-CN"/>
        </w:rPr>
      </w:pPr>
      <w:r>
        <w:rPr>
          <w:rFonts w:hint="eastAsia" w:ascii="宋体" w:hAnsi="宋体"/>
          <w:b/>
          <w:bCs/>
          <w:sz w:val="24"/>
          <w:lang w:val="en-US" w:eastAsia="zh-CN"/>
        </w:rPr>
        <w:t>本项目采用综合评分方式进行比选</w:t>
      </w:r>
    </w:p>
    <w:p w14:paraId="75950457">
      <w:pPr>
        <w:numPr>
          <w:ilvl w:val="0"/>
          <w:numId w:val="0"/>
        </w:numPr>
        <w:ind w:left="120" w:leftChars="0"/>
        <w:jc w:val="left"/>
        <w:rPr>
          <w:rFonts w:hint="default" w:ascii="宋体" w:hAnsi="宋体"/>
          <w:sz w:val="24"/>
          <w:lang w:val="en-US" w:eastAsia="zh-CN"/>
        </w:rPr>
      </w:pPr>
      <w:r>
        <w:rPr>
          <w:rFonts w:hint="eastAsia" w:ascii="宋体" w:hAnsi="宋体"/>
          <w:sz w:val="24"/>
          <w:lang w:val="en-US" w:eastAsia="zh-CN"/>
        </w:rPr>
        <w:t>评分细则见附件（四）</w:t>
      </w:r>
    </w:p>
    <w:p w14:paraId="583D0E7A">
      <w:pPr>
        <w:numPr>
          <w:ilvl w:val="0"/>
          <w:numId w:val="0"/>
        </w:numPr>
        <w:jc w:val="left"/>
        <w:rPr>
          <w:rFonts w:hint="eastAsia" w:ascii="宋体" w:hAnsi="宋体"/>
          <w:b/>
          <w:bCs/>
          <w:sz w:val="24"/>
        </w:rPr>
      </w:pPr>
      <w:r>
        <w:rPr>
          <w:rFonts w:hint="eastAsia" w:ascii="宋体" w:hAnsi="宋体"/>
          <w:b/>
          <w:bCs/>
          <w:sz w:val="24"/>
          <w:lang w:val="en-US" w:eastAsia="zh-CN"/>
        </w:rPr>
        <w:t>六、</w:t>
      </w:r>
      <w:r>
        <w:rPr>
          <w:rFonts w:hint="eastAsia" w:ascii="宋体" w:hAnsi="宋体"/>
          <w:b/>
          <w:bCs/>
          <w:sz w:val="24"/>
        </w:rPr>
        <w:t xml:space="preserve">联系方式 </w:t>
      </w:r>
    </w:p>
    <w:p w14:paraId="54CC3BF2">
      <w:pPr>
        <w:numPr>
          <w:ilvl w:val="0"/>
          <w:numId w:val="0"/>
        </w:numPr>
        <w:ind w:left="120" w:leftChars="0"/>
        <w:jc w:val="left"/>
        <w:rPr>
          <w:rFonts w:hint="eastAsia" w:ascii="宋体" w:hAnsi="宋体"/>
          <w:sz w:val="24"/>
        </w:rPr>
      </w:pPr>
      <w:r>
        <w:rPr>
          <w:rFonts w:hint="eastAsia" w:ascii="宋体" w:hAnsi="宋体"/>
          <w:sz w:val="24"/>
        </w:rPr>
        <w:t xml:space="preserve">地址：四川省广元市利州区建设路133号 </w:t>
      </w:r>
    </w:p>
    <w:p w14:paraId="1B7BFCDA">
      <w:pPr>
        <w:numPr>
          <w:ilvl w:val="0"/>
          <w:numId w:val="0"/>
        </w:numPr>
        <w:ind w:left="120" w:leftChars="0"/>
        <w:jc w:val="left"/>
        <w:rPr>
          <w:rFonts w:hint="eastAsia" w:ascii="宋体" w:hAnsi="宋体"/>
          <w:sz w:val="24"/>
        </w:rPr>
      </w:pPr>
      <w:r>
        <w:rPr>
          <w:rFonts w:hint="eastAsia" w:ascii="宋体" w:hAnsi="宋体"/>
          <w:sz w:val="24"/>
        </w:rPr>
        <w:t xml:space="preserve">名称：广元市中医医院医学装备科 </w:t>
      </w:r>
    </w:p>
    <w:p w14:paraId="552CC16F">
      <w:pPr>
        <w:numPr>
          <w:ilvl w:val="0"/>
          <w:numId w:val="0"/>
        </w:numPr>
        <w:ind w:left="120" w:leftChars="0"/>
        <w:jc w:val="left"/>
        <w:rPr>
          <w:rFonts w:hint="eastAsia" w:ascii="宋体" w:hAnsi="宋体"/>
          <w:sz w:val="24"/>
        </w:rPr>
      </w:pPr>
      <w:r>
        <w:rPr>
          <w:rFonts w:hint="eastAsia" w:ascii="宋体" w:hAnsi="宋体"/>
          <w:sz w:val="24"/>
        </w:rPr>
        <w:t>联系电话：0839-3240902 李老师</w:t>
      </w:r>
    </w:p>
    <w:p w14:paraId="1C78A316">
      <w:pPr>
        <w:numPr>
          <w:ilvl w:val="0"/>
          <w:numId w:val="0"/>
        </w:numPr>
        <w:ind w:left="120" w:leftChars="0"/>
        <w:jc w:val="left"/>
        <w:rPr>
          <w:rFonts w:hint="eastAsia" w:ascii="宋体" w:hAnsi="宋体"/>
          <w:sz w:val="24"/>
        </w:rPr>
      </w:pPr>
      <w:r>
        <w:rPr>
          <w:rFonts w:hint="eastAsia" w:ascii="宋体" w:hAnsi="宋体"/>
          <w:sz w:val="24"/>
        </w:rPr>
        <w:t>监督电话：0839-3226676 张老师</w:t>
      </w:r>
    </w:p>
    <w:p w14:paraId="1629627F">
      <w:pPr>
        <w:pStyle w:val="2"/>
        <w:rPr>
          <w:rFonts w:hint="eastAsia" w:ascii="宋体" w:hAnsi="宋体"/>
          <w:sz w:val="24"/>
        </w:rPr>
      </w:pPr>
    </w:p>
    <w:p w14:paraId="2E895E68">
      <w:pPr>
        <w:rPr>
          <w:rFonts w:hint="eastAsia" w:ascii="宋体" w:hAnsi="宋体"/>
          <w:sz w:val="24"/>
        </w:rPr>
      </w:pPr>
    </w:p>
    <w:p w14:paraId="444FC758">
      <w:pPr>
        <w:pStyle w:val="2"/>
        <w:rPr>
          <w:rFonts w:hint="eastAsia"/>
        </w:rPr>
      </w:pPr>
    </w:p>
    <w:p w14:paraId="4F5AB60B">
      <w:pPr>
        <w:numPr>
          <w:ilvl w:val="0"/>
          <w:numId w:val="0"/>
        </w:numPr>
        <w:ind w:left="120" w:leftChars="0"/>
        <w:jc w:val="center"/>
        <w:rPr>
          <w:rFonts w:hint="default"/>
          <w:lang w:val="en-US" w:eastAsia="zh-CN"/>
        </w:rPr>
      </w:pPr>
      <w:r>
        <w:rPr>
          <w:rFonts w:hint="eastAsia" w:ascii="宋体" w:hAnsi="宋体"/>
          <w:sz w:val="24"/>
          <w:lang w:val="en-US" w:eastAsia="zh-CN"/>
        </w:rPr>
        <w:t xml:space="preserve">                                           </w:t>
      </w:r>
      <w:r>
        <w:rPr>
          <w:rFonts w:hint="eastAsia" w:ascii="宋体" w:hAnsi="宋体"/>
          <w:sz w:val="24"/>
        </w:rPr>
        <w:t>广元市中医医院</w:t>
      </w:r>
    </w:p>
    <w:p w14:paraId="64D68B06">
      <w:pPr>
        <w:pStyle w:val="2"/>
        <w:ind w:firstLine="6240" w:firstLineChars="2600"/>
        <w:rPr>
          <w:rFonts w:hint="default"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 xml:space="preserve">2025年 </w:t>
      </w:r>
      <w:r>
        <w:rPr>
          <w:rFonts w:hint="eastAsia" w:ascii="宋体" w:hAnsi="宋体" w:cs="Times New Roman"/>
          <w:color w:val="auto"/>
          <w:kern w:val="2"/>
          <w:sz w:val="24"/>
          <w:szCs w:val="24"/>
          <w:lang w:val="en-US" w:eastAsia="zh-CN" w:bidi="ar-SA"/>
        </w:rPr>
        <w:t>10</w:t>
      </w:r>
      <w:r>
        <w:rPr>
          <w:rFonts w:hint="eastAsia" w:ascii="宋体" w:hAnsi="宋体" w:eastAsia="宋体" w:cs="Times New Roman"/>
          <w:color w:val="auto"/>
          <w:kern w:val="2"/>
          <w:sz w:val="24"/>
          <w:szCs w:val="24"/>
          <w:lang w:val="en-US" w:eastAsia="zh-CN" w:bidi="ar-SA"/>
        </w:rPr>
        <w:t xml:space="preserve"> 月</w:t>
      </w:r>
      <w:r>
        <w:rPr>
          <w:rFonts w:hint="eastAsia" w:ascii="宋体" w:hAnsi="宋体" w:cs="Times New Roman"/>
          <w:color w:val="auto"/>
          <w:kern w:val="2"/>
          <w:sz w:val="24"/>
          <w:szCs w:val="24"/>
          <w:lang w:val="en-US" w:eastAsia="zh-CN" w:bidi="ar-SA"/>
        </w:rPr>
        <w:t>15</w:t>
      </w:r>
      <w:r>
        <w:rPr>
          <w:rFonts w:hint="eastAsia" w:ascii="宋体" w:hAnsi="宋体" w:eastAsia="宋体" w:cs="Times New Roman"/>
          <w:color w:val="auto"/>
          <w:kern w:val="2"/>
          <w:sz w:val="24"/>
          <w:szCs w:val="24"/>
          <w:lang w:val="en-US" w:eastAsia="zh-CN" w:bidi="ar-SA"/>
        </w:rPr>
        <w:t>日</w:t>
      </w:r>
    </w:p>
    <w:bookmarkEnd w:id="0"/>
    <w:p w14:paraId="19473608"/>
    <w:p w14:paraId="7FCEBB09">
      <w:pPr>
        <w:pStyle w:val="2"/>
      </w:pPr>
    </w:p>
    <w:p w14:paraId="7B0315C9"/>
    <w:p w14:paraId="404B57B0">
      <w:pPr>
        <w:pStyle w:val="2"/>
      </w:pPr>
    </w:p>
    <w:p w14:paraId="50FF369A">
      <w:pPr>
        <w:pStyle w:val="4"/>
      </w:pPr>
    </w:p>
    <w:p w14:paraId="235D5F19"/>
    <w:p w14:paraId="02361D45">
      <w:pPr>
        <w:pStyle w:val="2"/>
      </w:pPr>
    </w:p>
    <w:p w14:paraId="05BF00B5">
      <w:pPr>
        <w:pStyle w:val="2"/>
      </w:pPr>
    </w:p>
    <w:p w14:paraId="07AB6817">
      <w:pPr>
        <w:pStyle w:val="4"/>
      </w:pPr>
    </w:p>
    <w:p w14:paraId="0507657E"/>
    <w:p w14:paraId="2CB50236"/>
    <w:p w14:paraId="205BA40E">
      <w:pPr>
        <w:pStyle w:val="3"/>
        <w:bidi w:val="0"/>
        <w:rPr>
          <w:rFonts w:hint="eastAsia"/>
          <w:b w:val="0"/>
          <w:bCs/>
          <w:sz w:val="28"/>
          <w:szCs w:val="28"/>
          <w:lang w:val="en-US" w:eastAsia="zh-CN"/>
        </w:rPr>
      </w:pPr>
      <w:r>
        <w:rPr>
          <w:rFonts w:hint="eastAsia"/>
          <w:b w:val="0"/>
          <w:bCs/>
          <w:sz w:val="28"/>
          <w:szCs w:val="28"/>
          <w:lang w:val="en-US" w:eastAsia="zh-CN"/>
        </w:rPr>
        <w:t>附件 （一）</w:t>
      </w:r>
    </w:p>
    <w:p w14:paraId="24694FCC">
      <w:pPr>
        <w:pStyle w:val="3"/>
        <w:bidi w:val="0"/>
        <w:rPr>
          <w:rFonts w:hint="eastAsia"/>
          <w:b w:val="0"/>
          <w:bCs/>
          <w:sz w:val="30"/>
          <w:szCs w:val="30"/>
        </w:rPr>
      </w:pPr>
      <w:r>
        <w:rPr>
          <w:rFonts w:hint="eastAsia"/>
          <w:b/>
          <w:bCs w:val="0"/>
          <w:sz w:val="30"/>
          <w:szCs w:val="30"/>
        </w:rPr>
        <w:t>商务要求</w:t>
      </w:r>
    </w:p>
    <w:p w14:paraId="4FC31C12">
      <w:pPr>
        <w:bidi w:val="0"/>
        <w:rPr>
          <w:rFonts w:hint="eastAsia" w:ascii="宋体" w:hAnsi="宋体" w:eastAsia="宋体" w:cs="宋体"/>
          <w:sz w:val="24"/>
          <w:szCs w:val="24"/>
        </w:rPr>
      </w:pPr>
      <w:r>
        <w:rPr>
          <w:rFonts w:hint="eastAsia" w:ascii="宋体" w:hAnsi="宋体" w:eastAsia="宋体" w:cs="宋体"/>
          <w:sz w:val="24"/>
          <w:szCs w:val="24"/>
        </w:rPr>
        <w:t>（一）服务地点：</w:t>
      </w:r>
      <w:r>
        <w:rPr>
          <w:rFonts w:hint="eastAsia" w:ascii="宋体" w:hAnsi="宋体" w:eastAsia="宋体" w:cs="宋体"/>
          <w:sz w:val="24"/>
          <w:szCs w:val="24"/>
          <w:lang w:val="en-US" w:eastAsia="zh-CN"/>
        </w:rPr>
        <w:t>广元市中医医院</w:t>
      </w:r>
    </w:p>
    <w:p w14:paraId="0274269A">
      <w:pPr>
        <w:bidi w:val="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val="en-US" w:eastAsia="zh-CN"/>
        </w:rPr>
        <w:t>服务期限</w:t>
      </w:r>
      <w:r>
        <w:rPr>
          <w:rFonts w:hint="eastAsia" w:ascii="宋体" w:hAnsi="宋体" w:eastAsia="宋体" w:cs="宋体"/>
          <w:sz w:val="24"/>
          <w:szCs w:val="24"/>
        </w:rPr>
        <w:t>：</w:t>
      </w:r>
      <w:r>
        <w:rPr>
          <w:rFonts w:hint="eastAsia" w:ascii="宋体" w:hAnsi="宋体" w:eastAsia="宋体" w:cs="宋体"/>
          <w:sz w:val="24"/>
          <w:szCs w:val="24"/>
          <w:lang w:val="en-US" w:eastAsia="zh-CN"/>
        </w:rPr>
        <w:t>维保服务期限为1年，搬迁服务期限为采购人提出需求后10天内</w:t>
      </w:r>
      <w:r>
        <w:rPr>
          <w:rFonts w:hint="eastAsia" w:ascii="宋体" w:hAnsi="宋体" w:eastAsia="宋体" w:cs="宋体"/>
          <w:sz w:val="24"/>
          <w:szCs w:val="24"/>
        </w:rPr>
        <w:t>。</w:t>
      </w:r>
    </w:p>
    <w:p w14:paraId="36010EF2">
      <w:pPr>
        <w:bidi w:val="0"/>
        <w:rPr>
          <w:rFonts w:hint="eastAsia" w:ascii="宋体" w:hAnsi="宋体" w:eastAsia="宋体" w:cs="宋体"/>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）付款方式：</w:t>
      </w:r>
      <w:r>
        <w:rPr>
          <w:rFonts w:hint="eastAsia" w:ascii="宋体" w:hAnsi="宋体" w:eastAsia="宋体" w:cs="宋体"/>
          <w:sz w:val="24"/>
          <w:szCs w:val="24"/>
          <w:lang w:val="en-US" w:eastAsia="zh-CN"/>
        </w:rPr>
        <w:t xml:space="preserve">   </w:t>
      </w:r>
    </w:p>
    <w:p w14:paraId="139B81AE">
      <w:pPr>
        <w:bidi w:val="0"/>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维保项目付款方式：以合同约定的服务时间为准，签订维保合同后，凭有效发票支付合同金额的50%，维保期满后验收合格支付剩余50%。</w:t>
      </w:r>
    </w:p>
    <w:p w14:paraId="474205E1">
      <w:pPr>
        <w:pStyle w:val="2"/>
        <w:bidi w:val="0"/>
        <w:ind w:firstLine="720" w:firstLineChars="3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搬迁项目付款方式：合同签定后，设备搬迁完成正常使用一个月验收合格后，一次性支付合同款。</w:t>
      </w:r>
    </w:p>
    <w:p w14:paraId="4BB85905">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（四）报价要求：报价文件中，</w:t>
      </w:r>
      <w:r>
        <w:rPr>
          <w:rFonts w:hint="eastAsia" w:ascii="宋体" w:hAnsi="宋体" w:eastAsia="宋体" w:cs="宋体"/>
          <w:b/>
          <w:bCs/>
          <w:sz w:val="24"/>
          <w:szCs w:val="24"/>
          <w:lang w:val="en-US" w:eastAsia="zh-CN"/>
        </w:rPr>
        <w:t>搬迁和维保需分开报价。</w:t>
      </w:r>
    </w:p>
    <w:p w14:paraId="0DC5F5F7">
      <w:pPr>
        <w:pStyle w:val="4"/>
        <w:rPr>
          <w:rFonts w:hint="eastAsia" w:ascii="宋体" w:hAnsi="宋体" w:eastAsia="宋体" w:cs="宋体"/>
          <w:sz w:val="24"/>
          <w:szCs w:val="24"/>
          <w:lang w:val="en-US" w:eastAsia="zh-CN"/>
        </w:rPr>
      </w:pPr>
    </w:p>
    <w:p w14:paraId="5874B964">
      <w:pPr>
        <w:pStyle w:val="2"/>
        <w:rPr>
          <w:rFonts w:hint="default"/>
          <w:lang w:val="en-US" w:eastAsia="zh-CN"/>
        </w:rPr>
      </w:pPr>
    </w:p>
    <w:p w14:paraId="6E5BBF5B"/>
    <w:p w14:paraId="3BACEC07">
      <w:pPr>
        <w:pStyle w:val="2"/>
      </w:pPr>
    </w:p>
    <w:p w14:paraId="4C8F3407"/>
    <w:p w14:paraId="6FD86C2C">
      <w:pPr>
        <w:pStyle w:val="2"/>
      </w:pPr>
    </w:p>
    <w:p w14:paraId="04BBF645"/>
    <w:p w14:paraId="25D35298">
      <w:pPr>
        <w:pStyle w:val="2"/>
      </w:pPr>
    </w:p>
    <w:p w14:paraId="6C7DB68F">
      <w:pPr>
        <w:pStyle w:val="4"/>
      </w:pPr>
    </w:p>
    <w:p w14:paraId="035377EC"/>
    <w:p w14:paraId="2F0A1689">
      <w:pPr>
        <w:pStyle w:val="2"/>
      </w:pPr>
    </w:p>
    <w:p w14:paraId="2CA013EF">
      <w:pPr>
        <w:pStyle w:val="4"/>
      </w:pPr>
    </w:p>
    <w:p w14:paraId="3B832B37"/>
    <w:p w14:paraId="68622F68">
      <w:pPr>
        <w:pStyle w:val="2"/>
      </w:pPr>
    </w:p>
    <w:p w14:paraId="760E542D">
      <w:pPr>
        <w:pStyle w:val="4"/>
      </w:pPr>
    </w:p>
    <w:p w14:paraId="6D944FB8"/>
    <w:p w14:paraId="599714DD">
      <w:pPr>
        <w:pStyle w:val="2"/>
      </w:pPr>
    </w:p>
    <w:p w14:paraId="6E5FE324">
      <w:pPr>
        <w:pStyle w:val="4"/>
      </w:pPr>
    </w:p>
    <w:p w14:paraId="5189685F"/>
    <w:p w14:paraId="49222BAC">
      <w:pPr>
        <w:pStyle w:val="2"/>
      </w:pPr>
    </w:p>
    <w:p w14:paraId="726BD5AB">
      <w:pPr>
        <w:pStyle w:val="4"/>
      </w:pPr>
    </w:p>
    <w:p w14:paraId="65435D1D"/>
    <w:p w14:paraId="50E892AA">
      <w:pPr>
        <w:pStyle w:val="4"/>
      </w:pPr>
    </w:p>
    <w:p w14:paraId="16BC4B72"/>
    <w:p w14:paraId="1F0F9264">
      <w:pPr>
        <w:pStyle w:val="3"/>
        <w:bidi w:val="0"/>
        <w:rPr>
          <w:rFonts w:hint="eastAsia" w:eastAsia="宋体" w:cs="Times New Roman"/>
          <w:b w:val="0"/>
          <w:bCs/>
          <w:sz w:val="28"/>
          <w:szCs w:val="28"/>
          <w:lang w:val="en-US" w:eastAsia="zh-CN"/>
        </w:rPr>
      </w:pPr>
      <w:r>
        <w:rPr>
          <w:rFonts w:hint="eastAsia" w:eastAsia="宋体" w:cs="Times New Roman"/>
          <w:b w:val="0"/>
          <w:bCs/>
          <w:sz w:val="28"/>
          <w:szCs w:val="28"/>
          <w:lang w:val="en-US" w:eastAsia="zh-CN"/>
        </w:rPr>
        <w:t>附件（二）</w:t>
      </w:r>
    </w:p>
    <w:p w14:paraId="4103C203">
      <w:pPr>
        <w:pStyle w:val="3"/>
        <w:bidi w:val="0"/>
        <w:rPr>
          <w:rFonts w:hint="default"/>
          <w:lang w:val="en-US" w:eastAsia="zh-CN"/>
        </w:rPr>
      </w:pPr>
      <w:r>
        <w:rPr>
          <w:rFonts w:hint="eastAsia"/>
          <w:lang w:val="en-US" w:eastAsia="zh-CN"/>
        </w:rPr>
        <w:t>搬迁服务要求</w:t>
      </w:r>
    </w:p>
    <w:p w14:paraId="276A55D2">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设备清单内2台设备提供移机服务，移机内容包含：设备拆卸、包装、设备整机进行整体搬迁至指定地点；在符合设备正常使用要求下进行设备的安装、定位；设备安全检查，设备检验校准，系统调试影像质量检查，确保设备正常工作状态。</w:t>
      </w:r>
    </w:p>
    <w:p w14:paraId="2BB266E5">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2、供应商成交后应自行提前勘察现场，根据场地情况免费提供新机房施工图纸或布局图，制作完整的移机方案。</w:t>
      </w:r>
    </w:p>
    <w:p w14:paraId="26846816">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3、供应商须具备齐全的专业搬迁工具。</w:t>
      </w:r>
    </w:p>
    <w:p w14:paraId="2AB56595">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4、供应商需对拆机产生的所有部件做好防水、防尘、防撞包装。</w:t>
      </w:r>
    </w:p>
    <w:p w14:paraId="6C876B5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5、在移机安装期间，由供应商责任造成的配件破损、丢失，由供应商负责免费更换，所更换配件应为全新原厂配件；移机造成的设备性能异常，不能满足医院使用要求，由供应商承担赔偿责任。</w:t>
      </w:r>
    </w:p>
    <w:p w14:paraId="0C55F1C3">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6、装机完成后提供装机调试报告，与医院现有诊疗系统连通，确保装机合格（符合质控要求）；设备移机后需确保性能不低于移机前性能（如图像成像等）。</w:t>
      </w:r>
    </w:p>
    <w:p w14:paraId="3A285724">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7、移机前检查确认设备完好状态，并且严格按照移机方案实施。移机完成后，保障不低于30天的正常运行，确保不发生因搬运导致的继发性设备故障。</w:t>
      </w:r>
    </w:p>
    <w:p w14:paraId="0F087662">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8、接到采购人通知后 </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个日历天内完成搬迁服务。搬迁后设备若不能恢复正常使用，我院有权利邀请有技术实力的相关公司服务，其中的相关费用应当由中标公司承担，服务地点为采购人指定地点。</w:t>
      </w:r>
    </w:p>
    <w:p w14:paraId="7383B870">
      <w:pPr>
        <w:pStyle w:val="2"/>
        <w:rPr>
          <w:rFonts w:hint="eastAsia" w:ascii="宋体" w:hAnsi="宋体" w:eastAsia="宋体" w:cs="宋体"/>
          <w:sz w:val="24"/>
          <w:szCs w:val="24"/>
        </w:rPr>
      </w:pPr>
    </w:p>
    <w:p w14:paraId="46FD20CD">
      <w:pPr>
        <w:rPr>
          <w:rFonts w:hint="eastAsia" w:ascii="宋体" w:hAnsi="宋体" w:eastAsia="宋体" w:cs="宋体"/>
          <w:sz w:val="24"/>
          <w:szCs w:val="24"/>
        </w:rPr>
      </w:pPr>
    </w:p>
    <w:p w14:paraId="4ACF9160">
      <w:pPr>
        <w:pStyle w:val="2"/>
      </w:pPr>
    </w:p>
    <w:p w14:paraId="443CA8FF"/>
    <w:p w14:paraId="0C52947C">
      <w:pPr>
        <w:pStyle w:val="2"/>
      </w:pPr>
    </w:p>
    <w:p w14:paraId="2294A1BA"/>
    <w:p w14:paraId="61B39B8B">
      <w:pPr>
        <w:pStyle w:val="2"/>
      </w:pPr>
    </w:p>
    <w:p w14:paraId="0BCAF9E7">
      <w:pPr>
        <w:pStyle w:val="4"/>
      </w:pPr>
    </w:p>
    <w:p w14:paraId="2D90A700"/>
    <w:p w14:paraId="042D3BB0">
      <w:pPr>
        <w:pStyle w:val="2"/>
      </w:pPr>
    </w:p>
    <w:p w14:paraId="561014E4">
      <w:pPr>
        <w:pStyle w:val="4"/>
      </w:pPr>
    </w:p>
    <w:p w14:paraId="3CFCB025"/>
    <w:p w14:paraId="6EC9A973">
      <w:pPr>
        <w:pStyle w:val="2"/>
      </w:pPr>
    </w:p>
    <w:p w14:paraId="352C8B45">
      <w:pPr>
        <w:pStyle w:val="4"/>
      </w:pPr>
    </w:p>
    <w:p w14:paraId="38396BFE"/>
    <w:p w14:paraId="3DB35F2D">
      <w:pPr>
        <w:pStyle w:val="2"/>
      </w:pPr>
    </w:p>
    <w:p w14:paraId="1A62BF0E">
      <w:pPr>
        <w:pStyle w:val="4"/>
      </w:pPr>
    </w:p>
    <w:p w14:paraId="789EEBCF">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附件(三)</w:t>
      </w:r>
    </w:p>
    <w:p w14:paraId="3BBAB98D">
      <w:pPr>
        <w:keepNext w:val="0"/>
        <w:keepLines w:val="0"/>
        <w:widowControl w:val="0"/>
        <w:bidi w:val="0"/>
        <w:spacing w:before="260" w:beforeLines="0" w:beforeAutospacing="0" w:after="260" w:afterLines="0" w:afterAutospacing="0" w:line="413" w:lineRule="auto"/>
        <w:jc w:val="left"/>
        <w:outlineLvl w:val="1"/>
        <w:rPr>
          <w:rFonts w:hint="default" w:ascii="Arial" w:hAnsi="Arial" w:eastAsia="宋体" w:cs="Times New Roman"/>
          <w:b/>
          <w:kern w:val="2"/>
          <w:sz w:val="30"/>
          <w:szCs w:val="24"/>
          <w:lang w:val="en-US" w:eastAsia="zh-CN" w:bidi="ar-SA"/>
        </w:rPr>
      </w:pPr>
      <w:r>
        <w:rPr>
          <w:rFonts w:hint="eastAsia" w:ascii="Arial" w:hAnsi="Arial" w:eastAsia="宋体" w:cs="Times New Roman"/>
          <w:b/>
          <w:kern w:val="2"/>
          <w:sz w:val="30"/>
          <w:szCs w:val="24"/>
          <w:lang w:val="en-US" w:eastAsia="zh-CN" w:bidi="ar-SA"/>
        </w:rPr>
        <w:t>维保服务要求</w:t>
      </w:r>
    </w:p>
    <w:p w14:paraId="57898224">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1、供应商为设备清单内3台设备提供整机技术保服务，提供无限次人工技术维修服务，不包含损坏配件的更换。</w:t>
      </w:r>
    </w:p>
    <w:p w14:paraId="7E2C98CD">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2、服务期内，对清单内设备每年提供 4 次定期维护、保养，计划性定期的维修服务检测包括设备清洁、性能测试及校准、必要的机械或电气的检查，以及非紧急性质的补救性维修，并定期对设备的数据进行备份，确保系统能按照制造商的产品规格运行的标准来维修。定期维护服务间隔进行，具体内容包括：（1）系统基本情况检查；（2）图像质量检查；（3）球管使用情况检查；（4）重建系统检查；（5）滑环通讯检查；（6）软件等。每次维保、检修后，工程师以专业纸质报告的形式为采购方提供服务报告。</w:t>
      </w:r>
    </w:p>
    <w:p w14:paraId="3B0DDFD2">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3、发生故障报修后响应时间：2小时内电话响应，现场响应时间≤24小时（包括节假日）。</w:t>
      </w:r>
    </w:p>
    <w:p w14:paraId="3ECCDF57">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4、开机率&gt;95%（一年按365天计算，即每年停机时间&lt;18天），开机率≤95%，停机时间每超一天，合同期限将相应延长5天。</w:t>
      </w:r>
    </w:p>
    <w:p w14:paraId="6F6DBE2C">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5、供应商需提供每年365天，24小时不间断服务，有 400 专业人员接听电话并全程协调，接到采购人电话咨询或故障报修后2小时内电话响应。</w:t>
      </w:r>
    </w:p>
    <w:p w14:paraId="474B94F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6、供应商应具备专业的维护工程师及维护工具。</w:t>
      </w:r>
    </w:p>
    <w:p w14:paraId="251659E8">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7、供应商应保证所提供的服务或其任何一部分均不会侵犯任何第三方的专利权、商标权或著作权，如有瑕疵的，视为供应商违约。供应商应负担由此而产生的一切损失。</w:t>
      </w:r>
    </w:p>
    <w:p w14:paraId="228E5EE9">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供应商应做好维保质量控制工作，因供应商维保不当造成设备使用中致患者或他人人身损害或财产损失的，供应商应承担患者或他人损害的赔偿责任；如因供应商工作人员在履行职务过程中的疏忽、失职、过错等故意或者过失原因给采购人造成损害或侵害，包括但不限于采购人本身或第三方的财产损失、由此而导致的采购人对任何第三方的法律责任等，供应商对此均应承担全部的赔偿责任，采购人若对外承担责任可向供应商追偿。</w:t>
      </w:r>
    </w:p>
    <w:p w14:paraId="59DC422D">
      <w:pPr>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9、供应商建立设备服务档案，档案内容包括：服务标签、安装信息、维护历史记录、设备状态评估报告，故障维修记录等，相关记录资料按年度交医院设备管理部门存档。</w:t>
      </w:r>
    </w:p>
    <w:p w14:paraId="23E8F432">
      <w:pPr>
        <w:rPr>
          <w:rFonts w:hint="eastAsia" w:ascii="宋体" w:hAnsi="宋体" w:eastAsia="宋体" w:cs="宋体"/>
          <w:sz w:val="24"/>
          <w:szCs w:val="24"/>
        </w:rPr>
      </w:pPr>
    </w:p>
    <w:p w14:paraId="47964F2F">
      <w:pPr>
        <w:pStyle w:val="2"/>
      </w:pPr>
    </w:p>
    <w:p w14:paraId="253B1F56">
      <w:pPr>
        <w:pStyle w:val="2"/>
      </w:pPr>
    </w:p>
    <w:p w14:paraId="73F02715">
      <w:pPr>
        <w:pStyle w:val="4"/>
      </w:pPr>
    </w:p>
    <w:p w14:paraId="702DD4E2"/>
    <w:p w14:paraId="1C902F88">
      <w:pPr>
        <w:pStyle w:val="2"/>
      </w:pPr>
    </w:p>
    <w:p w14:paraId="39C88C7A"/>
    <w:p w14:paraId="1342B904">
      <w:pPr>
        <w:pStyle w:val="2"/>
      </w:pPr>
    </w:p>
    <w:p w14:paraId="6526DF4E"/>
    <w:p w14:paraId="41E7C557">
      <w:pPr>
        <w:pStyle w:val="2"/>
      </w:pPr>
    </w:p>
    <w:p w14:paraId="542D4E57">
      <w:pPr>
        <w:rPr>
          <w:rFonts w:hint="default"/>
          <w:sz w:val="28"/>
          <w:szCs w:val="28"/>
          <w:lang w:val="en-US" w:eastAsia="zh-CN"/>
        </w:rPr>
      </w:pPr>
      <w:r>
        <w:rPr>
          <w:rFonts w:hint="eastAsia"/>
          <w:sz w:val="28"/>
          <w:szCs w:val="28"/>
          <w:lang w:val="en-US" w:eastAsia="zh-CN"/>
        </w:rPr>
        <w:t>附件（四）</w:t>
      </w:r>
    </w:p>
    <w:p w14:paraId="4C6D8C20">
      <w:pPr>
        <w:pStyle w:val="3"/>
        <w:bidi w:val="0"/>
        <w:rPr>
          <w:rFonts w:hint="eastAsia"/>
        </w:rPr>
      </w:pPr>
      <w:r>
        <w:rPr>
          <w:rFonts w:hint="eastAsia"/>
        </w:rPr>
        <w:t>评分细则如下：</w:t>
      </w:r>
    </w:p>
    <w:tbl>
      <w:tblPr>
        <w:tblStyle w:val="5"/>
        <w:tblW w:w="10132" w:type="dxa"/>
        <w:jc w:val="center"/>
        <w:tblLayout w:type="fixed"/>
        <w:tblCellMar>
          <w:top w:w="0" w:type="dxa"/>
          <w:left w:w="108" w:type="dxa"/>
          <w:bottom w:w="0" w:type="dxa"/>
          <w:right w:w="108" w:type="dxa"/>
        </w:tblCellMar>
      </w:tblPr>
      <w:tblGrid>
        <w:gridCol w:w="847"/>
        <w:gridCol w:w="1295"/>
        <w:gridCol w:w="573"/>
        <w:gridCol w:w="7417"/>
      </w:tblGrid>
      <w:tr w14:paraId="3B5700AF">
        <w:tblPrEx>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8D9CA2B">
            <w:pPr>
              <w:bidi w:val="0"/>
              <w:rPr>
                <w:rFonts w:hint="eastAsia"/>
                <w:sz w:val="24"/>
                <w:szCs w:val="24"/>
              </w:rPr>
            </w:pPr>
            <w:r>
              <w:rPr>
                <w:rFonts w:hint="eastAsia"/>
                <w:sz w:val="24"/>
                <w:szCs w:val="24"/>
              </w:rPr>
              <w:t>序号</w:t>
            </w:r>
          </w:p>
        </w:tc>
        <w:tc>
          <w:tcPr>
            <w:tcW w:w="1295" w:type="dxa"/>
            <w:tcBorders>
              <w:top w:val="single" w:color="auto" w:sz="4" w:space="0"/>
              <w:left w:val="nil"/>
              <w:bottom w:val="single" w:color="auto" w:sz="4" w:space="0"/>
              <w:right w:val="single" w:color="auto" w:sz="4" w:space="0"/>
            </w:tcBorders>
            <w:shd w:val="clear" w:color="auto" w:fill="auto"/>
            <w:vAlign w:val="center"/>
          </w:tcPr>
          <w:p w14:paraId="3338FD8F">
            <w:pPr>
              <w:bidi w:val="0"/>
              <w:rPr>
                <w:rFonts w:hint="eastAsia"/>
                <w:sz w:val="24"/>
                <w:szCs w:val="24"/>
              </w:rPr>
            </w:pPr>
            <w:r>
              <w:rPr>
                <w:rFonts w:hint="eastAsia"/>
                <w:sz w:val="24"/>
                <w:szCs w:val="24"/>
              </w:rPr>
              <w:t>评分因素及权重</w:t>
            </w:r>
          </w:p>
        </w:tc>
        <w:tc>
          <w:tcPr>
            <w:tcW w:w="573" w:type="dxa"/>
            <w:tcBorders>
              <w:top w:val="single" w:color="auto" w:sz="4" w:space="0"/>
              <w:left w:val="nil"/>
              <w:bottom w:val="single" w:color="auto" w:sz="4" w:space="0"/>
              <w:right w:val="single" w:color="auto" w:sz="4" w:space="0"/>
            </w:tcBorders>
            <w:shd w:val="clear" w:color="auto" w:fill="auto"/>
            <w:vAlign w:val="center"/>
          </w:tcPr>
          <w:p w14:paraId="65C906DB">
            <w:pPr>
              <w:bidi w:val="0"/>
              <w:rPr>
                <w:rFonts w:hint="eastAsia"/>
                <w:sz w:val="24"/>
                <w:szCs w:val="24"/>
              </w:rPr>
            </w:pPr>
            <w:r>
              <w:rPr>
                <w:rFonts w:hint="eastAsia"/>
                <w:sz w:val="24"/>
                <w:szCs w:val="24"/>
              </w:rPr>
              <w:t>分值</w:t>
            </w:r>
          </w:p>
        </w:tc>
        <w:tc>
          <w:tcPr>
            <w:tcW w:w="7417" w:type="dxa"/>
            <w:tcBorders>
              <w:top w:val="single" w:color="auto" w:sz="4" w:space="0"/>
              <w:left w:val="nil"/>
              <w:bottom w:val="single" w:color="auto" w:sz="4" w:space="0"/>
              <w:right w:val="single" w:color="auto" w:sz="4" w:space="0"/>
            </w:tcBorders>
            <w:shd w:val="clear" w:color="auto" w:fill="auto"/>
            <w:vAlign w:val="center"/>
          </w:tcPr>
          <w:p w14:paraId="2D47CA01">
            <w:pPr>
              <w:bidi w:val="0"/>
              <w:rPr>
                <w:rFonts w:hint="eastAsia"/>
                <w:sz w:val="24"/>
                <w:szCs w:val="24"/>
              </w:rPr>
            </w:pPr>
            <w:r>
              <w:rPr>
                <w:rFonts w:hint="eastAsia"/>
                <w:sz w:val="24"/>
                <w:szCs w:val="24"/>
              </w:rPr>
              <w:t>评分标准</w:t>
            </w:r>
          </w:p>
        </w:tc>
      </w:tr>
      <w:tr w14:paraId="581370CE">
        <w:tblPrEx>
          <w:tblCellMar>
            <w:top w:w="0" w:type="dxa"/>
            <w:left w:w="108" w:type="dxa"/>
            <w:bottom w:w="0" w:type="dxa"/>
            <w:right w:w="108" w:type="dxa"/>
          </w:tblCellMar>
        </w:tblPrEx>
        <w:trPr>
          <w:jc w:val="center"/>
        </w:trPr>
        <w:tc>
          <w:tcPr>
            <w:tcW w:w="847" w:type="dxa"/>
            <w:tcBorders>
              <w:top w:val="nil"/>
              <w:left w:val="single" w:color="auto" w:sz="4" w:space="0"/>
              <w:bottom w:val="single" w:color="auto" w:sz="4" w:space="0"/>
              <w:right w:val="single" w:color="auto" w:sz="4" w:space="0"/>
            </w:tcBorders>
            <w:shd w:val="clear" w:color="auto" w:fill="auto"/>
            <w:vAlign w:val="center"/>
          </w:tcPr>
          <w:p w14:paraId="3FEBD9B6">
            <w:pPr>
              <w:bidi w:val="0"/>
              <w:rPr>
                <w:rFonts w:hint="eastAsia"/>
                <w:sz w:val="24"/>
                <w:szCs w:val="24"/>
              </w:rPr>
            </w:pPr>
            <w:r>
              <w:rPr>
                <w:rFonts w:hint="eastAsia"/>
                <w:sz w:val="24"/>
                <w:szCs w:val="24"/>
              </w:rPr>
              <w:t>1</w:t>
            </w:r>
          </w:p>
        </w:tc>
        <w:tc>
          <w:tcPr>
            <w:tcW w:w="1295" w:type="dxa"/>
            <w:tcBorders>
              <w:top w:val="nil"/>
              <w:left w:val="nil"/>
              <w:bottom w:val="single" w:color="auto" w:sz="4" w:space="0"/>
              <w:right w:val="single" w:color="auto" w:sz="4" w:space="0"/>
            </w:tcBorders>
            <w:shd w:val="clear" w:color="auto" w:fill="auto"/>
            <w:vAlign w:val="center"/>
          </w:tcPr>
          <w:p w14:paraId="693F1749">
            <w:pPr>
              <w:bidi w:val="0"/>
              <w:rPr>
                <w:rFonts w:hint="eastAsia"/>
                <w:sz w:val="24"/>
                <w:szCs w:val="24"/>
              </w:rPr>
            </w:pPr>
            <w:r>
              <w:rPr>
                <w:rFonts w:hint="eastAsia"/>
                <w:sz w:val="24"/>
                <w:szCs w:val="24"/>
              </w:rPr>
              <w:t>报价</w:t>
            </w:r>
          </w:p>
        </w:tc>
        <w:tc>
          <w:tcPr>
            <w:tcW w:w="573" w:type="dxa"/>
            <w:tcBorders>
              <w:top w:val="nil"/>
              <w:left w:val="nil"/>
              <w:bottom w:val="single" w:color="auto" w:sz="4" w:space="0"/>
              <w:right w:val="single" w:color="auto" w:sz="4" w:space="0"/>
            </w:tcBorders>
            <w:shd w:val="clear" w:color="auto" w:fill="auto"/>
            <w:vAlign w:val="center"/>
          </w:tcPr>
          <w:p w14:paraId="7AE723B7">
            <w:pPr>
              <w:bidi w:val="0"/>
              <w:rPr>
                <w:rFonts w:hint="eastAsia"/>
                <w:sz w:val="24"/>
                <w:szCs w:val="24"/>
              </w:rPr>
            </w:pPr>
            <w:r>
              <w:rPr>
                <w:rFonts w:hint="eastAsia"/>
                <w:sz w:val="24"/>
                <w:szCs w:val="24"/>
                <w:lang w:val="en-US" w:eastAsia="zh-CN"/>
              </w:rPr>
              <w:t>1</w:t>
            </w:r>
            <w:r>
              <w:rPr>
                <w:rFonts w:hint="eastAsia"/>
                <w:sz w:val="24"/>
                <w:szCs w:val="24"/>
              </w:rPr>
              <w:t>0</w:t>
            </w:r>
          </w:p>
        </w:tc>
        <w:tc>
          <w:tcPr>
            <w:tcW w:w="7417" w:type="dxa"/>
            <w:tcBorders>
              <w:top w:val="nil"/>
              <w:left w:val="nil"/>
              <w:bottom w:val="single" w:color="auto" w:sz="4" w:space="0"/>
              <w:right w:val="single" w:color="auto" w:sz="4" w:space="0"/>
            </w:tcBorders>
            <w:shd w:val="clear" w:color="auto" w:fill="auto"/>
            <w:vAlign w:val="center"/>
          </w:tcPr>
          <w:p w14:paraId="0BC5ED03">
            <w:pPr>
              <w:bidi w:val="0"/>
              <w:rPr>
                <w:rFonts w:hint="eastAsia"/>
                <w:sz w:val="24"/>
                <w:szCs w:val="24"/>
              </w:rPr>
            </w:pPr>
            <w:r>
              <w:rPr>
                <w:rFonts w:hint="eastAsia"/>
                <w:sz w:val="24"/>
                <w:szCs w:val="24"/>
              </w:rPr>
              <w:t>以</w:t>
            </w:r>
            <w:r>
              <w:rPr>
                <w:rFonts w:hint="eastAsia"/>
                <w:sz w:val="24"/>
                <w:szCs w:val="24"/>
                <w:lang w:eastAsia="zh-CN"/>
              </w:rPr>
              <w:t>供应商</w:t>
            </w:r>
            <w:r>
              <w:rPr>
                <w:rFonts w:hint="eastAsia"/>
                <w:sz w:val="24"/>
                <w:szCs w:val="24"/>
              </w:rPr>
              <w:t>有效报价的最低价为评标基准价，报价得分=基准价/报价*</w:t>
            </w:r>
            <w:r>
              <w:rPr>
                <w:rFonts w:hint="eastAsia"/>
                <w:sz w:val="24"/>
                <w:szCs w:val="24"/>
                <w:lang w:val="en-US" w:eastAsia="zh-CN"/>
              </w:rPr>
              <w:t>1</w:t>
            </w:r>
            <w:r>
              <w:rPr>
                <w:rFonts w:hint="eastAsia"/>
                <w:sz w:val="24"/>
                <w:szCs w:val="24"/>
              </w:rPr>
              <w:t>0。</w:t>
            </w:r>
          </w:p>
        </w:tc>
      </w:tr>
      <w:tr w14:paraId="2956DDD5">
        <w:tblPrEx>
          <w:tblCellMar>
            <w:top w:w="0" w:type="dxa"/>
            <w:left w:w="108" w:type="dxa"/>
            <w:bottom w:w="0" w:type="dxa"/>
            <w:right w:w="108" w:type="dxa"/>
          </w:tblCellMar>
        </w:tblPrEx>
        <w:trPr>
          <w:jc w:val="center"/>
        </w:trPr>
        <w:tc>
          <w:tcPr>
            <w:tcW w:w="847" w:type="dxa"/>
            <w:tcBorders>
              <w:top w:val="nil"/>
              <w:left w:val="single" w:color="auto" w:sz="4" w:space="0"/>
              <w:bottom w:val="single" w:color="auto" w:sz="4" w:space="0"/>
              <w:right w:val="single" w:color="auto" w:sz="4" w:space="0"/>
            </w:tcBorders>
            <w:shd w:val="clear" w:color="auto" w:fill="auto"/>
            <w:vAlign w:val="center"/>
          </w:tcPr>
          <w:p w14:paraId="34CE630C">
            <w:pPr>
              <w:bidi w:val="0"/>
              <w:rPr>
                <w:rFonts w:hint="eastAsia"/>
                <w:sz w:val="24"/>
                <w:szCs w:val="24"/>
                <w:lang w:eastAsia="zh-CN"/>
              </w:rPr>
            </w:pPr>
            <w:r>
              <w:rPr>
                <w:rFonts w:hint="eastAsia"/>
                <w:sz w:val="24"/>
                <w:szCs w:val="24"/>
                <w:lang w:val="en-US" w:eastAsia="zh-CN"/>
              </w:rPr>
              <w:t>2</w:t>
            </w:r>
          </w:p>
        </w:tc>
        <w:tc>
          <w:tcPr>
            <w:tcW w:w="1295" w:type="dxa"/>
            <w:tcBorders>
              <w:top w:val="nil"/>
              <w:left w:val="nil"/>
              <w:bottom w:val="single" w:color="auto" w:sz="4" w:space="0"/>
              <w:right w:val="single" w:color="auto" w:sz="4" w:space="0"/>
            </w:tcBorders>
            <w:shd w:val="clear" w:color="auto" w:fill="auto"/>
            <w:vAlign w:val="center"/>
          </w:tcPr>
          <w:p w14:paraId="43EC1D9B">
            <w:pPr>
              <w:bidi w:val="0"/>
              <w:rPr>
                <w:rFonts w:hint="eastAsia"/>
                <w:sz w:val="24"/>
                <w:szCs w:val="24"/>
              </w:rPr>
            </w:pPr>
            <w:r>
              <w:rPr>
                <w:rFonts w:hint="eastAsia"/>
                <w:sz w:val="24"/>
                <w:szCs w:val="24"/>
              </w:rPr>
              <w:t>履约能力</w:t>
            </w:r>
          </w:p>
        </w:tc>
        <w:tc>
          <w:tcPr>
            <w:tcW w:w="573" w:type="dxa"/>
            <w:tcBorders>
              <w:top w:val="nil"/>
              <w:left w:val="nil"/>
              <w:bottom w:val="single" w:color="auto" w:sz="4" w:space="0"/>
              <w:right w:val="single" w:color="auto" w:sz="4" w:space="0"/>
            </w:tcBorders>
            <w:shd w:val="clear" w:color="auto" w:fill="auto"/>
            <w:vAlign w:val="center"/>
          </w:tcPr>
          <w:p w14:paraId="37587074">
            <w:pPr>
              <w:bidi w:val="0"/>
              <w:rPr>
                <w:rFonts w:hint="default" w:eastAsia="宋体"/>
                <w:sz w:val="24"/>
                <w:szCs w:val="24"/>
                <w:lang w:val="en-US" w:eastAsia="zh-CN"/>
              </w:rPr>
            </w:pPr>
            <w:r>
              <w:rPr>
                <w:rFonts w:hint="eastAsia"/>
                <w:sz w:val="24"/>
                <w:szCs w:val="24"/>
                <w:lang w:val="en-US" w:eastAsia="zh-CN"/>
              </w:rPr>
              <w:t>10</w:t>
            </w:r>
          </w:p>
        </w:tc>
        <w:tc>
          <w:tcPr>
            <w:tcW w:w="7417" w:type="dxa"/>
            <w:tcBorders>
              <w:top w:val="nil"/>
              <w:left w:val="nil"/>
              <w:bottom w:val="single" w:color="auto" w:sz="4" w:space="0"/>
              <w:right w:val="single" w:color="auto" w:sz="4" w:space="0"/>
            </w:tcBorders>
            <w:shd w:val="clear" w:color="auto" w:fill="auto"/>
            <w:vAlign w:val="center"/>
          </w:tcPr>
          <w:p w14:paraId="29AA315A">
            <w:pPr>
              <w:bidi w:val="0"/>
              <w:rPr>
                <w:rFonts w:hint="eastAsia"/>
                <w:sz w:val="24"/>
                <w:szCs w:val="24"/>
              </w:rPr>
            </w:pPr>
            <w:r>
              <w:rPr>
                <w:rFonts w:hint="eastAsia"/>
                <w:sz w:val="24"/>
                <w:szCs w:val="24"/>
              </w:rPr>
              <w:t>2022年1月1日以来（以签订合同时间为准），每提供一个放射类医疗设备维保业绩</w:t>
            </w:r>
            <w:r>
              <w:rPr>
                <w:rFonts w:hint="eastAsia"/>
                <w:sz w:val="24"/>
                <w:szCs w:val="24"/>
                <w:lang w:val="en-US" w:eastAsia="zh-CN"/>
              </w:rPr>
              <w:t>5</w:t>
            </w:r>
            <w:r>
              <w:rPr>
                <w:rFonts w:hint="eastAsia"/>
                <w:sz w:val="24"/>
                <w:szCs w:val="24"/>
              </w:rPr>
              <w:t>分，最多得1</w:t>
            </w:r>
            <w:r>
              <w:rPr>
                <w:rFonts w:hint="eastAsia"/>
                <w:sz w:val="24"/>
                <w:szCs w:val="24"/>
                <w:lang w:val="en-US" w:eastAsia="zh-CN"/>
              </w:rPr>
              <w:t>0</w:t>
            </w:r>
            <w:r>
              <w:rPr>
                <w:rFonts w:hint="eastAsia"/>
                <w:sz w:val="24"/>
                <w:szCs w:val="24"/>
              </w:rPr>
              <w:t>分。提供合同复印件或中标通知书。</w:t>
            </w:r>
          </w:p>
        </w:tc>
      </w:tr>
      <w:tr w14:paraId="1FABFEEF">
        <w:tblPrEx>
          <w:tblCellMar>
            <w:top w:w="0" w:type="dxa"/>
            <w:left w:w="108" w:type="dxa"/>
            <w:bottom w:w="0" w:type="dxa"/>
            <w:right w:w="108" w:type="dxa"/>
          </w:tblCellMar>
        </w:tblPrEx>
        <w:trPr>
          <w:jc w:val="center"/>
        </w:trPr>
        <w:tc>
          <w:tcPr>
            <w:tcW w:w="847" w:type="dxa"/>
            <w:tcBorders>
              <w:top w:val="nil"/>
              <w:left w:val="single" w:color="auto" w:sz="4" w:space="0"/>
              <w:bottom w:val="single" w:color="auto" w:sz="4" w:space="0"/>
              <w:right w:val="single" w:color="auto" w:sz="4" w:space="0"/>
            </w:tcBorders>
            <w:shd w:val="clear" w:color="auto" w:fill="auto"/>
            <w:vAlign w:val="center"/>
          </w:tcPr>
          <w:p w14:paraId="11C09E23">
            <w:pPr>
              <w:bidi w:val="0"/>
              <w:rPr>
                <w:rFonts w:hint="eastAsia"/>
                <w:sz w:val="24"/>
                <w:szCs w:val="24"/>
                <w:lang w:eastAsia="zh-CN"/>
              </w:rPr>
            </w:pPr>
            <w:r>
              <w:rPr>
                <w:rFonts w:hint="eastAsia"/>
                <w:sz w:val="24"/>
                <w:szCs w:val="24"/>
                <w:lang w:val="en-US" w:eastAsia="zh-CN"/>
              </w:rPr>
              <w:t>3</w:t>
            </w:r>
          </w:p>
        </w:tc>
        <w:tc>
          <w:tcPr>
            <w:tcW w:w="1295" w:type="dxa"/>
            <w:tcBorders>
              <w:top w:val="nil"/>
              <w:left w:val="nil"/>
              <w:bottom w:val="single" w:color="auto" w:sz="4" w:space="0"/>
              <w:right w:val="single" w:color="auto" w:sz="4" w:space="0"/>
            </w:tcBorders>
            <w:shd w:val="clear" w:color="auto" w:fill="auto"/>
            <w:vAlign w:val="center"/>
          </w:tcPr>
          <w:p w14:paraId="48F9D559">
            <w:pPr>
              <w:bidi w:val="0"/>
              <w:rPr>
                <w:rFonts w:hint="eastAsia"/>
                <w:sz w:val="24"/>
                <w:szCs w:val="24"/>
              </w:rPr>
            </w:pPr>
            <w:r>
              <w:rPr>
                <w:rFonts w:hint="eastAsia"/>
                <w:sz w:val="24"/>
                <w:szCs w:val="24"/>
                <w:lang w:val="en-US" w:eastAsia="zh-CN"/>
              </w:rPr>
              <w:t>维保</w:t>
            </w:r>
            <w:r>
              <w:rPr>
                <w:rFonts w:hint="eastAsia"/>
                <w:sz w:val="24"/>
                <w:szCs w:val="24"/>
              </w:rPr>
              <w:t>服务方案</w:t>
            </w:r>
          </w:p>
        </w:tc>
        <w:tc>
          <w:tcPr>
            <w:tcW w:w="573" w:type="dxa"/>
            <w:tcBorders>
              <w:top w:val="nil"/>
              <w:left w:val="nil"/>
              <w:bottom w:val="single" w:color="auto" w:sz="4" w:space="0"/>
              <w:right w:val="single" w:color="auto" w:sz="4" w:space="0"/>
            </w:tcBorders>
            <w:shd w:val="clear" w:color="auto" w:fill="auto"/>
            <w:vAlign w:val="center"/>
          </w:tcPr>
          <w:p w14:paraId="1963244B">
            <w:pPr>
              <w:bidi w:val="0"/>
              <w:rPr>
                <w:rFonts w:hint="default" w:eastAsia="宋体"/>
                <w:sz w:val="24"/>
                <w:szCs w:val="24"/>
                <w:lang w:val="en-US" w:eastAsia="zh-CN"/>
              </w:rPr>
            </w:pPr>
            <w:r>
              <w:rPr>
                <w:rFonts w:hint="eastAsia"/>
                <w:sz w:val="24"/>
                <w:szCs w:val="24"/>
                <w:lang w:val="en-US" w:eastAsia="zh-CN"/>
              </w:rPr>
              <w:t>25</w:t>
            </w:r>
          </w:p>
        </w:tc>
        <w:tc>
          <w:tcPr>
            <w:tcW w:w="7417" w:type="dxa"/>
            <w:tcBorders>
              <w:top w:val="nil"/>
              <w:left w:val="nil"/>
              <w:bottom w:val="single" w:color="auto" w:sz="4" w:space="0"/>
              <w:right w:val="single" w:color="auto" w:sz="4" w:space="0"/>
            </w:tcBorders>
            <w:shd w:val="clear" w:color="auto" w:fill="auto"/>
            <w:vAlign w:val="center"/>
          </w:tcPr>
          <w:p w14:paraId="6033A496">
            <w:pPr>
              <w:bidi w:val="0"/>
              <w:rPr>
                <w:rFonts w:hint="eastAsia"/>
                <w:sz w:val="24"/>
                <w:szCs w:val="24"/>
              </w:rPr>
            </w:pPr>
            <w:r>
              <w:rPr>
                <w:rFonts w:hint="eastAsia"/>
                <w:sz w:val="24"/>
                <w:szCs w:val="24"/>
              </w:rPr>
              <w:t>供应商根据本项目特点，提供</w:t>
            </w:r>
            <w:r>
              <w:rPr>
                <w:rFonts w:hint="eastAsia"/>
                <w:sz w:val="24"/>
                <w:szCs w:val="24"/>
                <w:lang w:val="en-US" w:eastAsia="zh-CN"/>
              </w:rPr>
              <w:t>维保</w:t>
            </w:r>
            <w:r>
              <w:rPr>
                <w:rFonts w:hint="eastAsia"/>
                <w:sz w:val="24"/>
                <w:szCs w:val="24"/>
              </w:rPr>
              <w:t>服务方案，至少包含但不限于：（1）项目整体方案；（2）项目维保进度、时间安排；</w:t>
            </w:r>
          </w:p>
          <w:p w14:paraId="535E2D69">
            <w:pPr>
              <w:bidi w:val="0"/>
              <w:rPr>
                <w:rFonts w:hint="eastAsia"/>
                <w:sz w:val="24"/>
                <w:szCs w:val="24"/>
              </w:rPr>
            </w:pPr>
            <w:r>
              <w:rPr>
                <w:rFonts w:hint="eastAsia"/>
                <w:sz w:val="24"/>
                <w:szCs w:val="24"/>
              </w:rPr>
              <w:t>（3）项目技术队伍质量保障措施；（4）服务质量保证措施；（5）对项目实施过程中可能存在问题的预备解决方案；</w:t>
            </w:r>
          </w:p>
          <w:p w14:paraId="1A11480B">
            <w:pPr>
              <w:bidi w:val="0"/>
              <w:rPr>
                <w:rFonts w:hint="eastAsia"/>
                <w:sz w:val="24"/>
                <w:szCs w:val="24"/>
              </w:rPr>
            </w:pPr>
            <w:r>
              <w:rPr>
                <w:rFonts w:hint="eastAsia"/>
                <w:sz w:val="24"/>
                <w:szCs w:val="24"/>
              </w:rPr>
              <w:t>内容齐全，描述详细且针对性强的得</w:t>
            </w:r>
            <w:r>
              <w:rPr>
                <w:rFonts w:hint="eastAsia"/>
                <w:sz w:val="24"/>
                <w:szCs w:val="24"/>
                <w:lang w:val="en-US" w:eastAsia="zh-CN"/>
              </w:rPr>
              <w:t>25</w:t>
            </w:r>
            <w:r>
              <w:rPr>
                <w:rFonts w:hint="eastAsia"/>
                <w:sz w:val="24"/>
                <w:szCs w:val="24"/>
              </w:rPr>
              <w:t>分，有任意一项内容缺失的扣</w:t>
            </w:r>
            <w:r>
              <w:rPr>
                <w:rFonts w:hint="eastAsia"/>
                <w:sz w:val="24"/>
                <w:szCs w:val="24"/>
                <w:lang w:val="en-US" w:eastAsia="zh-CN"/>
              </w:rPr>
              <w:t>5</w:t>
            </w:r>
            <w:r>
              <w:rPr>
                <w:rFonts w:hint="eastAsia"/>
                <w:sz w:val="24"/>
                <w:szCs w:val="24"/>
              </w:rPr>
              <w:t>分，方案内容不适合的，有一项扣</w:t>
            </w:r>
            <w:r>
              <w:rPr>
                <w:rFonts w:hint="eastAsia"/>
                <w:sz w:val="24"/>
                <w:szCs w:val="24"/>
                <w:lang w:val="en-US" w:eastAsia="zh-CN"/>
              </w:rPr>
              <w:t>2.5</w:t>
            </w:r>
            <w:r>
              <w:rPr>
                <w:rFonts w:hint="eastAsia"/>
                <w:sz w:val="24"/>
                <w:szCs w:val="24"/>
              </w:rPr>
              <w:t>分，扣完为止。</w:t>
            </w:r>
          </w:p>
        </w:tc>
      </w:tr>
      <w:tr w14:paraId="617C66AC">
        <w:tblPrEx>
          <w:tblCellMar>
            <w:top w:w="0" w:type="dxa"/>
            <w:left w:w="108" w:type="dxa"/>
            <w:bottom w:w="0" w:type="dxa"/>
            <w:right w:w="108" w:type="dxa"/>
          </w:tblCellMar>
        </w:tblPrEx>
        <w:trPr>
          <w:jc w:val="center"/>
        </w:trPr>
        <w:tc>
          <w:tcPr>
            <w:tcW w:w="847" w:type="dxa"/>
            <w:tcBorders>
              <w:top w:val="nil"/>
              <w:left w:val="single" w:color="auto" w:sz="4" w:space="0"/>
              <w:bottom w:val="single" w:color="auto" w:sz="4" w:space="0"/>
              <w:right w:val="single" w:color="auto" w:sz="4" w:space="0"/>
            </w:tcBorders>
            <w:shd w:val="clear" w:color="auto" w:fill="auto"/>
            <w:vAlign w:val="center"/>
          </w:tcPr>
          <w:p w14:paraId="4080014C">
            <w:pPr>
              <w:bidi w:val="0"/>
              <w:rPr>
                <w:rFonts w:hint="default"/>
                <w:sz w:val="24"/>
                <w:szCs w:val="24"/>
                <w:lang w:val="en-US" w:eastAsia="zh-CN"/>
              </w:rPr>
            </w:pPr>
            <w:r>
              <w:rPr>
                <w:rFonts w:hint="eastAsia"/>
                <w:sz w:val="24"/>
                <w:szCs w:val="24"/>
                <w:lang w:val="en-US" w:eastAsia="zh-CN"/>
              </w:rPr>
              <w:t>4</w:t>
            </w:r>
          </w:p>
        </w:tc>
        <w:tc>
          <w:tcPr>
            <w:tcW w:w="1295" w:type="dxa"/>
            <w:tcBorders>
              <w:top w:val="nil"/>
              <w:left w:val="nil"/>
              <w:bottom w:val="single" w:color="auto" w:sz="4" w:space="0"/>
              <w:right w:val="single" w:color="auto" w:sz="4" w:space="0"/>
            </w:tcBorders>
            <w:shd w:val="clear" w:color="auto" w:fill="auto"/>
            <w:vAlign w:val="center"/>
          </w:tcPr>
          <w:p w14:paraId="4B84B588">
            <w:pPr>
              <w:bidi w:val="0"/>
              <w:rPr>
                <w:rFonts w:hint="default"/>
                <w:sz w:val="24"/>
                <w:szCs w:val="24"/>
                <w:lang w:val="en-US" w:eastAsia="zh-CN"/>
              </w:rPr>
            </w:pPr>
            <w:r>
              <w:rPr>
                <w:rFonts w:hint="eastAsia"/>
                <w:sz w:val="24"/>
                <w:szCs w:val="24"/>
                <w:lang w:val="en-US" w:eastAsia="zh-CN"/>
              </w:rPr>
              <w:t>搬迁服务方案</w:t>
            </w:r>
          </w:p>
        </w:tc>
        <w:tc>
          <w:tcPr>
            <w:tcW w:w="573" w:type="dxa"/>
            <w:tcBorders>
              <w:top w:val="nil"/>
              <w:left w:val="nil"/>
              <w:bottom w:val="single" w:color="auto" w:sz="4" w:space="0"/>
              <w:right w:val="single" w:color="auto" w:sz="4" w:space="0"/>
            </w:tcBorders>
            <w:shd w:val="clear" w:color="auto" w:fill="auto"/>
            <w:vAlign w:val="center"/>
          </w:tcPr>
          <w:p w14:paraId="6A29D9AF">
            <w:pPr>
              <w:bidi w:val="0"/>
              <w:rPr>
                <w:rFonts w:hint="default" w:eastAsia="宋体"/>
                <w:sz w:val="24"/>
                <w:szCs w:val="24"/>
                <w:lang w:val="en-US" w:eastAsia="zh-CN"/>
              </w:rPr>
            </w:pPr>
            <w:r>
              <w:rPr>
                <w:rFonts w:hint="eastAsia"/>
                <w:sz w:val="24"/>
                <w:szCs w:val="24"/>
                <w:lang w:val="en-US" w:eastAsia="zh-CN"/>
              </w:rPr>
              <w:t>25</w:t>
            </w:r>
          </w:p>
        </w:tc>
        <w:tc>
          <w:tcPr>
            <w:tcW w:w="7417" w:type="dxa"/>
            <w:tcBorders>
              <w:top w:val="nil"/>
              <w:left w:val="nil"/>
              <w:bottom w:val="single" w:color="auto" w:sz="4" w:space="0"/>
              <w:right w:val="single" w:color="auto" w:sz="4" w:space="0"/>
            </w:tcBorders>
            <w:shd w:val="clear" w:color="auto" w:fill="auto"/>
            <w:vAlign w:val="center"/>
          </w:tcPr>
          <w:p w14:paraId="3E1398CC">
            <w:pPr>
              <w:bidi w:val="0"/>
              <w:rPr>
                <w:rFonts w:hint="eastAsia"/>
                <w:sz w:val="24"/>
                <w:szCs w:val="24"/>
              </w:rPr>
            </w:pPr>
            <w:r>
              <w:rPr>
                <w:rFonts w:hint="eastAsia"/>
                <w:sz w:val="24"/>
                <w:szCs w:val="24"/>
              </w:rPr>
              <w:t>供应商根据本项目特点，提供</w:t>
            </w:r>
            <w:r>
              <w:rPr>
                <w:rFonts w:hint="eastAsia"/>
                <w:sz w:val="24"/>
                <w:szCs w:val="24"/>
                <w:lang w:val="en-US" w:eastAsia="zh-CN"/>
              </w:rPr>
              <w:t>维保</w:t>
            </w:r>
            <w:r>
              <w:rPr>
                <w:rFonts w:hint="eastAsia"/>
                <w:sz w:val="24"/>
                <w:szCs w:val="24"/>
              </w:rPr>
              <w:t>服务方案，至少包含但不限于：</w:t>
            </w: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服务内容；</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服务优势；</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项目实施具体步骤；</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项目实施所需物资工具；</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事故预防与控制措施；</w:t>
            </w:r>
          </w:p>
          <w:p w14:paraId="75BCA002">
            <w:pPr>
              <w:bidi w:val="0"/>
              <w:rPr>
                <w:rFonts w:hint="eastAsia"/>
                <w:sz w:val="24"/>
                <w:szCs w:val="24"/>
              </w:rPr>
            </w:pPr>
            <w:r>
              <w:rPr>
                <w:rFonts w:hint="eastAsia"/>
                <w:sz w:val="24"/>
                <w:szCs w:val="24"/>
              </w:rPr>
              <w:t>内容齐全，描述详细且针对性强的得</w:t>
            </w:r>
            <w:r>
              <w:rPr>
                <w:rFonts w:hint="eastAsia"/>
                <w:sz w:val="24"/>
                <w:szCs w:val="24"/>
                <w:lang w:val="en-US" w:eastAsia="zh-CN"/>
              </w:rPr>
              <w:t>25</w:t>
            </w:r>
            <w:r>
              <w:rPr>
                <w:rFonts w:hint="eastAsia"/>
                <w:sz w:val="24"/>
                <w:szCs w:val="24"/>
              </w:rPr>
              <w:t>分，有任意一项内容缺失的扣</w:t>
            </w:r>
            <w:r>
              <w:rPr>
                <w:rFonts w:hint="eastAsia"/>
                <w:sz w:val="24"/>
                <w:szCs w:val="24"/>
                <w:lang w:val="en-US" w:eastAsia="zh-CN"/>
              </w:rPr>
              <w:t>5</w:t>
            </w:r>
            <w:r>
              <w:rPr>
                <w:rFonts w:hint="eastAsia"/>
                <w:sz w:val="24"/>
                <w:szCs w:val="24"/>
              </w:rPr>
              <w:t>分，方案内容不适合的，有一项扣</w:t>
            </w:r>
            <w:r>
              <w:rPr>
                <w:rFonts w:hint="eastAsia"/>
                <w:sz w:val="24"/>
                <w:szCs w:val="24"/>
                <w:lang w:val="en-US" w:eastAsia="zh-CN"/>
              </w:rPr>
              <w:t>2.5</w:t>
            </w:r>
            <w:r>
              <w:rPr>
                <w:rFonts w:hint="eastAsia"/>
                <w:sz w:val="24"/>
                <w:szCs w:val="24"/>
              </w:rPr>
              <w:t>分，扣完为止。</w:t>
            </w:r>
          </w:p>
        </w:tc>
      </w:tr>
      <w:tr w14:paraId="45939B1A">
        <w:tblPrEx>
          <w:tblCellMar>
            <w:top w:w="0" w:type="dxa"/>
            <w:left w:w="108" w:type="dxa"/>
            <w:bottom w:w="0" w:type="dxa"/>
            <w:right w:w="108" w:type="dxa"/>
          </w:tblCellMar>
        </w:tblPrEx>
        <w:trPr>
          <w:jc w:val="center"/>
        </w:trPr>
        <w:tc>
          <w:tcPr>
            <w:tcW w:w="847" w:type="dxa"/>
            <w:tcBorders>
              <w:top w:val="nil"/>
              <w:left w:val="single" w:color="auto" w:sz="4" w:space="0"/>
              <w:bottom w:val="single" w:color="auto" w:sz="4" w:space="0"/>
              <w:right w:val="single" w:color="auto" w:sz="4" w:space="0"/>
            </w:tcBorders>
            <w:shd w:val="clear" w:color="auto" w:fill="auto"/>
            <w:vAlign w:val="center"/>
          </w:tcPr>
          <w:p w14:paraId="2DB51C11">
            <w:pPr>
              <w:bidi w:val="0"/>
              <w:rPr>
                <w:rFonts w:hint="default"/>
                <w:sz w:val="24"/>
                <w:szCs w:val="24"/>
                <w:lang w:val="en-US" w:eastAsia="zh-CN"/>
              </w:rPr>
            </w:pPr>
            <w:r>
              <w:rPr>
                <w:rFonts w:hint="eastAsia"/>
                <w:sz w:val="24"/>
                <w:szCs w:val="24"/>
                <w:lang w:val="en-US" w:eastAsia="zh-CN"/>
              </w:rPr>
              <w:t>5</w:t>
            </w:r>
          </w:p>
        </w:tc>
        <w:tc>
          <w:tcPr>
            <w:tcW w:w="1295" w:type="dxa"/>
            <w:tcBorders>
              <w:top w:val="nil"/>
              <w:left w:val="nil"/>
              <w:bottom w:val="single" w:color="auto" w:sz="4" w:space="0"/>
              <w:right w:val="single" w:color="auto" w:sz="4" w:space="0"/>
            </w:tcBorders>
            <w:shd w:val="clear" w:color="auto" w:fill="auto"/>
            <w:vAlign w:val="center"/>
          </w:tcPr>
          <w:p w14:paraId="6DC60A0A">
            <w:pPr>
              <w:bidi w:val="0"/>
              <w:rPr>
                <w:rFonts w:hint="eastAsia"/>
                <w:sz w:val="24"/>
                <w:szCs w:val="24"/>
              </w:rPr>
            </w:pPr>
            <w:r>
              <w:rPr>
                <w:rFonts w:hint="eastAsia"/>
                <w:sz w:val="24"/>
                <w:szCs w:val="24"/>
              </w:rPr>
              <w:t>辐射安全</w:t>
            </w:r>
          </w:p>
        </w:tc>
        <w:tc>
          <w:tcPr>
            <w:tcW w:w="573" w:type="dxa"/>
            <w:tcBorders>
              <w:top w:val="nil"/>
              <w:left w:val="nil"/>
              <w:bottom w:val="single" w:color="auto" w:sz="4" w:space="0"/>
              <w:right w:val="single" w:color="auto" w:sz="4" w:space="0"/>
            </w:tcBorders>
            <w:shd w:val="clear" w:color="auto" w:fill="auto"/>
            <w:vAlign w:val="center"/>
          </w:tcPr>
          <w:p w14:paraId="0DD08B84">
            <w:pPr>
              <w:bidi w:val="0"/>
              <w:rPr>
                <w:rFonts w:hint="eastAsia" w:eastAsia="宋体"/>
                <w:sz w:val="24"/>
                <w:szCs w:val="24"/>
                <w:lang w:val="en-US" w:eastAsia="zh-CN"/>
              </w:rPr>
            </w:pPr>
            <w:r>
              <w:rPr>
                <w:rFonts w:hint="eastAsia"/>
                <w:sz w:val="24"/>
                <w:szCs w:val="24"/>
              </w:rPr>
              <w:t>1</w:t>
            </w:r>
            <w:r>
              <w:rPr>
                <w:rFonts w:hint="eastAsia"/>
                <w:sz w:val="24"/>
                <w:szCs w:val="24"/>
                <w:lang w:val="en-US" w:eastAsia="zh-CN"/>
              </w:rPr>
              <w:t>0</w:t>
            </w:r>
          </w:p>
        </w:tc>
        <w:tc>
          <w:tcPr>
            <w:tcW w:w="7417" w:type="dxa"/>
            <w:tcBorders>
              <w:top w:val="nil"/>
              <w:left w:val="nil"/>
              <w:bottom w:val="single" w:color="auto" w:sz="4" w:space="0"/>
              <w:right w:val="single" w:color="auto" w:sz="4" w:space="0"/>
            </w:tcBorders>
            <w:shd w:val="clear" w:color="auto" w:fill="auto"/>
            <w:vAlign w:val="center"/>
          </w:tcPr>
          <w:p w14:paraId="63472369">
            <w:pPr>
              <w:bidi w:val="0"/>
              <w:rPr>
                <w:rFonts w:hint="eastAsia"/>
                <w:color w:val="auto"/>
                <w:sz w:val="24"/>
                <w:szCs w:val="24"/>
              </w:rPr>
            </w:pPr>
            <w:r>
              <w:rPr>
                <w:rFonts w:hint="eastAsia"/>
                <w:color w:val="auto"/>
                <w:sz w:val="24"/>
                <w:szCs w:val="24"/>
              </w:rPr>
              <w:t>供应商服务人员具有</w:t>
            </w:r>
            <w:r>
              <w:rPr>
                <w:rFonts w:hint="eastAsia"/>
                <w:color w:val="auto"/>
                <w:sz w:val="24"/>
                <w:szCs w:val="24"/>
                <w:lang w:val="en-US" w:eastAsia="zh-CN"/>
              </w:rPr>
              <w:t>核技术利用辐射安全与防护考核</w:t>
            </w:r>
            <w:r>
              <w:rPr>
                <w:rFonts w:hint="eastAsia"/>
                <w:color w:val="auto"/>
                <w:sz w:val="24"/>
                <w:szCs w:val="24"/>
              </w:rPr>
              <w:t>“辐射安全与防护”的工程师培训证书。提供1个证书得2分，最多得</w:t>
            </w:r>
            <w:r>
              <w:rPr>
                <w:rFonts w:hint="eastAsia"/>
                <w:color w:val="auto"/>
                <w:sz w:val="24"/>
                <w:szCs w:val="24"/>
                <w:lang w:val="en-US" w:eastAsia="zh-CN"/>
              </w:rPr>
              <w:t>8</w:t>
            </w:r>
            <w:r>
              <w:rPr>
                <w:rFonts w:hint="eastAsia"/>
                <w:color w:val="auto"/>
                <w:sz w:val="24"/>
                <w:szCs w:val="24"/>
              </w:rPr>
              <w:t>分</w:t>
            </w:r>
            <w:r>
              <w:rPr>
                <w:rFonts w:hint="eastAsia"/>
                <w:color w:val="auto"/>
                <w:sz w:val="24"/>
                <w:szCs w:val="24"/>
                <w:lang w:eastAsia="zh-CN"/>
              </w:rPr>
              <w:t>（</w:t>
            </w:r>
            <w:r>
              <w:rPr>
                <w:rFonts w:hint="eastAsia"/>
                <w:color w:val="auto"/>
                <w:sz w:val="24"/>
                <w:szCs w:val="24"/>
                <w:lang w:val="en-US" w:eastAsia="zh-CN"/>
              </w:rPr>
              <w:t>提供服务人员有效期内的考核证书与2025年任意1个月在供应商缴纳社保的证明</w:t>
            </w:r>
            <w:r>
              <w:rPr>
                <w:rFonts w:hint="eastAsia"/>
                <w:color w:val="auto"/>
                <w:sz w:val="24"/>
                <w:szCs w:val="24"/>
                <w:lang w:eastAsia="zh-CN"/>
              </w:rPr>
              <w:t>）</w:t>
            </w:r>
            <w:r>
              <w:rPr>
                <w:rFonts w:hint="eastAsia"/>
                <w:color w:val="auto"/>
                <w:sz w:val="24"/>
                <w:szCs w:val="24"/>
              </w:rPr>
              <w:t>。</w:t>
            </w:r>
          </w:p>
          <w:p w14:paraId="3310B6A1">
            <w:pPr>
              <w:bidi w:val="0"/>
              <w:rPr>
                <w:rFonts w:hint="eastAsia" w:eastAsia="宋体"/>
                <w:sz w:val="24"/>
                <w:szCs w:val="24"/>
                <w:lang w:eastAsia="zh-CN"/>
              </w:rPr>
            </w:pPr>
            <w:r>
              <w:rPr>
                <w:rFonts w:hint="eastAsia"/>
                <w:color w:val="auto"/>
                <w:sz w:val="24"/>
                <w:szCs w:val="24"/>
              </w:rPr>
              <w:t>供应商具有有效期内的“辐射安全许可证”的，得</w:t>
            </w:r>
            <w:r>
              <w:rPr>
                <w:rFonts w:hint="eastAsia"/>
                <w:color w:val="auto"/>
                <w:sz w:val="24"/>
                <w:szCs w:val="24"/>
                <w:lang w:val="en-US" w:eastAsia="zh-CN"/>
              </w:rPr>
              <w:t>2</w:t>
            </w:r>
            <w:r>
              <w:rPr>
                <w:rFonts w:hint="eastAsia"/>
                <w:color w:val="auto"/>
                <w:sz w:val="24"/>
                <w:szCs w:val="24"/>
              </w:rPr>
              <w:t>分。提供有效期内的证书复印件</w:t>
            </w:r>
            <w:r>
              <w:rPr>
                <w:rFonts w:hint="eastAsia"/>
                <w:color w:val="auto"/>
                <w:sz w:val="24"/>
                <w:szCs w:val="24"/>
                <w:lang w:eastAsia="zh-CN"/>
              </w:rPr>
              <w:t>。</w:t>
            </w:r>
          </w:p>
        </w:tc>
      </w:tr>
      <w:tr w14:paraId="47A3D601">
        <w:tblPrEx>
          <w:tblCellMar>
            <w:top w:w="0" w:type="dxa"/>
            <w:left w:w="108" w:type="dxa"/>
            <w:bottom w:w="0" w:type="dxa"/>
            <w:right w:w="108" w:type="dxa"/>
          </w:tblCellMar>
        </w:tblPrEx>
        <w:trPr>
          <w:jc w:val="center"/>
        </w:trPr>
        <w:tc>
          <w:tcPr>
            <w:tcW w:w="847" w:type="dxa"/>
            <w:tcBorders>
              <w:top w:val="nil"/>
              <w:left w:val="single" w:color="auto" w:sz="4" w:space="0"/>
              <w:bottom w:val="single" w:color="auto" w:sz="4" w:space="0"/>
              <w:right w:val="single" w:color="auto" w:sz="4" w:space="0"/>
            </w:tcBorders>
            <w:shd w:val="clear" w:color="auto" w:fill="auto"/>
            <w:vAlign w:val="center"/>
          </w:tcPr>
          <w:p w14:paraId="19F6273D">
            <w:pPr>
              <w:bidi w:val="0"/>
              <w:rPr>
                <w:rFonts w:hint="default"/>
                <w:sz w:val="24"/>
                <w:szCs w:val="24"/>
                <w:lang w:val="en-US" w:eastAsia="zh-CN"/>
              </w:rPr>
            </w:pPr>
            <w:r>
              <w:rPr>
                <w:rFonts w:hint="eastAsia"/>
                <w:sz w:val="24"/>
                <w:szCs w:val="24"/>
                <w:lang w:val="en-US" w:eastAsia="zh-CN"/>
              </w:rPr>
              <w:t>6</w:t>
            </w:r>
          </w:p>
        </w:tc>
        <w:tc>
          <w:tcPr>
            <w:tcW w:w="1295" w:type="dxa"/>
            <w:tcBorders>
              <w:top w:val="nil"/>
              <w:left w:val="nil"/>
              <w:bottom w:val="single" w:color="auto" w:sz="4" w:space="0"/>
              <w:right w:val="single" w:color="auto" w:sz="4" w:space="0"/>
            </w:tcBorders>
            <w:shd w:val="clear" w:color="auto" w:fill="auto"/>
            <w:vAlign w:val="center"/>
          </w:tcPr>
          <w:p w14:paraId="7F140F69">
            <w:pPr>
              <w:bidi w:val="0"/>
              <w:rPr>
                <w:rFonts w:hint="default" w:eastAsia="宋体"/>
                <w:sz w:val="24"/>
                <w:szCs w:val="24"/>
                <w:lang w:val="en-US" w:eastAsia="zh-CN"/>
              </w:rPr>
            </w:pPr>
            <w:r>
              <w:rPr>
                <w:rFonts w:hint="eastAsia"/>
                <w:sz w:val="24"/>
                <w:szCs w:val="24"/>
                <w:lang w:val="en-US" w:eastAsia="zh-CN"/>
              </w:rPr>
              <w:t>维修工具</w:t>
            </w:r>
          </w:p>
        </w:tc>
        <w:tc>
          <w:tcPr>
            <w:tcW w:w="573" w:type="dxa"/>
            <w:tcBorders>
              <w:top w:val="nil"/>
              <w:left w:val="nil"/>
              <w:bottom w:val="single" w:color="auto" w:sz="4" w:space="0"/>
              <w:right w:val="single" w:color="auto" w:sz="4" w:space="0"/>
            </w:tcBorders>
            <w:shd w:val="clear" w:color="auto" w:fill="auto"/>
            <w:vAlign w:val="center"/>
          </w:tcPr>
          <w:p w14:paraId="26164C38">
            <w:pPr>
              <w:bidi w:val="0"/>
              <w:jc w:val="center"/>
              <w:rPr>
                <w:rFonts w:hint="default" w:eastAsia="宋体"/>
                <w:sz w:val="24"/>
                <w:szCs w:val="24"/>
                <w:lang w:val="en-US" w:eastAsia="zh-CN"/>
              </w:rPr>
            </w:pPr>
            <w:r>
              <w:rPr>
                <w:rFonts w:hint="eastAsia"/>
                <w:sz w:val="24"/>
                <w:szCs w:val="24"/>
                <w:lang w:val="en-US" w:eastAsia="zh-CN"/>
              </w:rPr>
              <w:t>10</w:t>
            </w:r>
          </w:p>
        </w:tc>
        <w:tc>
          <w:tcPr>
            <w:tcW w:w="7417" w:type="dxa"/>
            <w:tcBorders>
              <w:top w:val="nil"/>
              <w:left w:val="nil"/>
              <w:bottom w:val="single" w:color="auto" w:sz="4" w:space="0"/>
              <w:right w:val="single" w:color="auto" w:sz="4" w:space="0"/>
            </w:tcBorders>
            <w:shd w:val="clear" w:color="auto" w:fill="auto"/>
            <w:vAlign w:val="center"/>
          </w:tcPr>
          <w:p w14:paraId="6FC9DBEE">
            <w:pPr>
              <w:bidi w:val="0"/>
              <w:rPr>
                <w:rFonts w:hint="eastAsia"/>
                <w:sz w:val="24"/>
                <w:szCs w:val="24"/>
              </w:rPr>
            </w:pPr>
            <w:r>
              <w:rPr>
                <w:rFonts w:hint="eastAsia"/>
                <w:color w:val="auto"/>
                <w:sz w:val="24"/>
                <w:szCs w:val="24"/>
                <w:lang w:eastAsia="zh-CN"/>
              </w:rPr>
              <w:t>供应商具备维修</w:t>
            </w:r>
            <w:r>
              <w:rPr>
                <w:rFonts w:hint="eastAsia"/>
                <w:color w:val="auto"/>
                <w:sz w:val="24"/>
                <w:szCs w:val="24"/>
                <w:lang w:val="en-US" w:eastAsia="zh-CN"/>
              </w:rPr>
              <w:t>所具备的常用工具（万用表、扭矩扳手、示波器、水平仪、数字电桥）</w:t>
            </w:r>
            <w:r>
              <w:rPr>
                <w:rFonts w:hint="eastAsia"/>
                <w:color w:val="auto"/>
                <w:sz w:val="24"/>
                <w:szCs w:val="24"/>
                <w:lang w:eastAsia="zh-CN"/>
              </w:rPr>
              <w:t>，</w:t>
            </w:r>
            <w:r>
              <w:rPr>
                <w:rFonts w:hint="eastAsia"/>
                <w:color w:val="auto"/>
                <w:sz w:val="24"/>
                <w:szCs w:val="24"/>
                <w:lang w:val="en-US" w:eastAsia="zh-CN"/>
              </w:rPr>
              <w:t>每提供一种维修工具的校准证书，</w:t>
            </w:r>
            <w:r>
              <w:rPr>
                <w:rFonts w:hint="eastAsia"/>
                <w:color w:val="auto"/>
                <w:sz w:val="24"/>
                <w:szCs w:val="24"/>
                <w:lang w:eastAsia="zh-CN"/>
              </w:rPr>
              <w:t>得</w:t>
            </w:r>
            <w:r>
              <w:rPr>
                <w:rFonts w:hint="eastAsia"/>
                <w:color w:val="auto"/>
                <w:sz w:val="24"/>
                <w:szCs w:val="24"/>
                <w:lang w:val="en-US" w:eastAsia="zh-CN"/>
              </w:rPr>
              <w:t>2</w:t>
            </w:r>
            <w:r>
              <w:rPr>
                <w:rFonts w:hint="eastAsia"/>
                <w:color w:val="auto"/>
                <w:sz w:val="24"/>
                <w:szCs w:val="24"/>
                <w:lang w:eastAsia="zh-CN"/>
              </w:rPr>
              <w:t>分，</w:t>
            </w:r>
            <w:r>
              <w:rPr>
                <w:rFonts w:hint="eastAsia"/>
                <w:color w:val="auto"/>
                <w:sz w:val="24"/>
                <w:szCs w:val="24"/>
                <w:lang w:val="en-US" w:eastAsia="zh-CN"/>
              </w:rPr>
              <w:t>本项最多得10分</w:t>
            </w:r>
            <w:r>
              <w:rPr>
                <w:rFonts w:hint="eastAsia"/>
                <w:color w:val="auto"/>
                <w:sz w:val="24"/>
                <w:szCs w:val="24"/>
                <w:lang w:eastAsia="zh-CN"/>
              </w:rPr>
              <w:t>。（提供</w:t>
            </w:r>
            <w:r>
              <w:rPr>
                <w:rFonts w:hint="eastAsia"/>
                <w:color w:val="auto"/>
                <w:sz w:val="24"/>
                <w:szCs w:val="24"/>
                <w:lang w:val="en-US" w:eastAsia="zh-CN"/>
              </w:rPr>
              <w:t>正规机构出具的有效期内的校准证书</w:t>
            </w:r>
            <w:r>
              <w:rPr>
                <w:rFonts w:hint="eastAsia"/>
                <w:color w:val="auto"/>
                <w:sz w:val="24"/>
                <w:szCs w:val="24"/>
                <w:lang w:eastAsia="zh-CN"/>
              </w:rPr>
              <w:t>）。</w:t>
            </w:r>
          </w:p>
        </w:tc>
      </w:tr>
      <w:tr w14:paraId="73EDB9C8">
        <w:tblPrEx>
          <w:tblCellMar>
            <w:top w:w="0" w:type="dxa"/>
            <w:left w:w="108" w:type="dxa"/>
            <w:bottom w:w="0" w:type="dxa"/>
            <w:right w:w="108" w:type="dxa"/>
          </w:tblCellMar>
        </w:tblPrEx>
        <w:trPr>
          <w:jc w:val="center"/>
        </w:trPr>
        <w:tc>
          <w:tcPr>
            <w:tcW w:w="847" w:type="dxa"/>
            <w:tcBorders>
              <w:top w:val="nil"/>
              <w:left w:val="single" w:color="auto" w:sz="4" w:space="0"/>
              <w:bottom w:val="single" w:color="auto" w:sz="4" w:space="0"/>
              <w:right w:val="single" w:color="auto" w:sz="4" w:space="0"/>
            </w:tcBorders>
            <w:shd w:val="clear" w:color="auto" w:fill="auto"/>
            <w:vAlign w:val="center"/>
          </w:tcPr>
          <w:p w14:paraId="02E9B32B">
            <w:pPr>
              <w:bidi w:val="0"/>
              <w:rPr>
                <w:rFonts w:hint="default"/>
                <w:sz w:val="24"/>
                <w:szCs w:val="24"/>
                <w:lang w:val="en-US" w:eastAsia="zh-CN"/>
              </w:rPr>
            </w:pPr>
            <w:r>
              <w:rPr>
                <w:rFonts w:hint="eastAsia"/>
                <w:sz w:val="24"/>
                <w:szCs w:val="24"/>
                <w:lang w:val="en-US" w:eastAsia="zh-CN"/>
              </w:rPr>
              <w:t>7</w:t>
            </w:r>
          </w:p>
        </w:tc>
        <w:tc>
          <w:tcPr>
            <w:tcW w:w="1295" w:type="dxa"/>
            <w:tcBorders>
              <w:top w:val="nil"/>
              <w:left w:val="nil"/>
              <w:bottom w:val="single" w:color="auto" w:sz="4" w:space="0"/>
              <w:right w:val="single" w:color="auto" w:sz="4" w:space="0"/>
            </w:tcBorders>
            <w:shd w:val="clear" w:color="auto" w:fill="auto"/>
            <w:vAlign w:val="center"/>
          </w:tcPr>
          <w:p w14:paraId="3C087E53">
            <w:pPr>
              <w:bidi w:val="0"/>
              <w:rPr>
                <w:rFonts w:hint="default" w:eastAsia="宋体"/>
                <w:sz w:val="24"/>
                <w:szCs w:val="24"/>
                <w:lang w:val="en-US" w:eastAsia="zh-CN"/>
              </w:rPr>
            </w:pPr>
            <w:r>
              <w:rPr>
                <w:rFonts w:hint="eastAsia"/>
                <w:sz w:val="24"/>
                <w:szCs w:val="24"/>
                <w:lang w:val="en-US" w:eastAsia="zh-CN"/>
              </w:rPr>
              <w:t>企业实力</w:t>
            </w:r>
          </w:p>
        </w:tc>
        <w:tc>
          <w:tcPr>
            <w:tcW w:w="573" w:type="dxa"/>
            <w:tcBorders>
              <w:top w:val="nil"/>
              <w:left w:val="nil"/>
              <w:bottom w:val="single" w:color="auto" w:sz="4" w:space="0"/>
              <w:right w:val="single" w:color="auto" w:sz="4" w:space="0"/>
            </w:tcBorders>
            <w:shd w:val="clear" w:color="auto" w:fill="auto"/>
            <w:vAlign w:val="center"/>
          </w:tcPr>
          <w:p w14:paraId="1EED493C">
            <w:pPr>
              <w:bidi w:val="0"/>
              <w:rPr>
                <w:rFonts w:hint="default" w:eastAsia="宋体"/>
                <w:sz w:val="24"/>
                <w:szCs w:val="24"/>
                <w:lang w:val="en-US" w:eastAsia="zh-CN"/>
              </w:rPr>
            </w:pPr>
            <w:r>
              <w:rPr>
                <w:rFonts w:hint="eastAsia"/>
                <w:sz w:val="24"/>
                <w:szCs w:val="24"/>
                <w:lang w:val="en-US" w:eastAsia="zh-CN"/>
              </w:rPr>
              <w:t>10</w:t>
            </w:r>
          </w:p>
        </w:tc>
        <w:tc>
          <w:tcPr>
            <w:tcW w:w="7417" w:type="dxa"/>
            <w:tcBorders>
              <w:top w:val="nil"/>
              <w:left w:val="nil"/>
              <w:bottom w:val="single" w:color="auto" w:sz="4" w:space="0"/>
              <w:right w:val="single" w:color="auto" w:sz="4" w:space="0"/>
            </w:tcBorders>
            <w:shd w:val="clear" w:color="auto" w:fill="auto"/>
            <w:vAlign w:val="center"/>
          </w:tcPr>
          <w:p w14:paraId="17458A2C">
            <w:pPr>
              <w:bidi w:val="0"/>
              <w:rPr>
                <w:rFonts w:hint="eastAsia"/>
                <w:color w:val="auto"/>
                <w:sz w:val="24"/>
                <w:szCs w:val="24"/>
                <w:lang w:val="en-US" w:eastAsia="zh-CN"/>
              </w:rPr>
            </w:pPr>
            <w:r>
              <w:rPr>
                <w:rFonts w:hint="eastAsia"/>
                <w:color w:val="auto"/>
                <w:sz w:val="24"/>
                <w:szCs w:val="24"/>
                <w:lang w:val="en-US" w:eastAsia="zh-CN"/>
              </w:rPr>
              <w:t>供应商具有中国设备维修安装企业能力等级证书（放射类三级及以上）的，得5分。</w:t>
            </w:r>
          </w:p>
          <w:p w14:paraId="123BDA9A">
            <w:pPr>
              <w:bidi w:val="0"/>
              <w:rPr>
                <w:rFonts w:hint="eastAsia"/>
                <w:color w:val="auto"/>
                <w:sz w:val="24"/>
                <w:szCs w:val="24"/>
                <w:lang w:val="en-US" w:eastAsia="zh-CN"/>
              </w:rPr>
            </w:pPr>
            <w:r>
              <w:rPr>
                <w:rFonts w:hint="eastAsia"/>
                <w:color w:val="auto"/>
                <w:sz w:val="24"/>
                <w:szCs w:val="24"/>
                <w:lang w:val="en-US" w:eastAsia="zh-CN"/>
              </w:rPr>
              <w:t>供应商具有有效期内的ISO9001认证的，得1分；</w:t>
            </w:r>
          </w:p>
          <w:p w14:paraId="35EBE3B2">
            <w:pPr>
              <w:bidi w:val="0"/>
              <w:rPr>
                <w:rFonts w:hint="eastAsia"/>
                <w:color w:val="auto"/>
                <w:sz w:val="24"/>
                <w:szCs w:val="24"/>
                <w:lang w:val="en-US" w:eastAsia="zh-CN"/>
              </w:rPr>
            </w:pPr>
            <w:r>
              <w:rPr>
                <w:rFonts w:hint="eastAsia"/>
                <w:color w:val="auto"/>
                <w:sz w:val="24"/>
                <w:szCs w:val="24"/>
                <w:lang w:val="en-US" w:eastAsia="zh-CN"/>
              </w:rPr>
              <w:t>供应商具有有效期内的ISO13485认证的，得1分；</w:t>
            </w:r>
          </w:p>
          <w:p w14:paraId="58811937">
            <w:pPr>
              <w:bidi w:val="0"/>
              <w:rPr>
                <w:rFonts w:hint="eastAsia"/>
                <w:color w:val="auto"/>
                <w:sz w:val="24"/>
                <w:szCs w:val="24"/>
                <w:lang w:val="en-US" w:eastAsia="zh-CN"/>
              </w:rPr>
            </w:pPr>
            <w:r>
              <w:rPr>
                <w:rFonts w:hint="eastAsia"/>
                <w:color w:val="auto"/>
                <w:sz w:val="24"/>
                <w:szCs w:val="24"/>
                <w:lang w:val="en-US" w:eastAsia="zh-CN"/>
              </w:rPr>
              <w:t>供应商具有有效期内的ISO45001认证的，得1分；</w:t>
            </w:r>
          </w:p>
          <w:p w14:paraId="7F14E42F">
            <w:pPr>
              <w:pStyle w:val="2"/>
              <w:rPr>
                <w:rFonts w:hint="default"/>
                <w:color w:val="auto"/>
                <w:sz w:val="24"/>
                <w:szCs w:val="24"/>
                <w:lang w:val="en-US" w:eastAsia="zh-CN"/>
              </w:rPr>
            </w:pPr>
            <w:r>
              <w:rPr>
                <w:rFonts w:hint="default"/>
                <w:color w:val="auto"/>
                <w:sz w:val="24"/>
                <w:szCs w:val="24"/>
                <w:lang w:val="en-US" w:eastAsia="zh-CN"/>
              </w:rPr>
              <w:t>供应商具有有效期内的ISO</w:t>
            </w:r>
            <w:r>
              <w:rPr>
                <w:rFonts w:hint="eastAsia"/>
                <w:color w:val="auto"/>
                <w:sz w:val="24"/>
                <w:szCs w:val="24"/>
                <w:lang w:val="en-US" w:eastAsia="zh-CN"/>
              </w:rPr>
              <w:t>27001</w:t>
            </w:r>
            <w:r>
              <w:rPr>
                <w:rFonts w:hint="default"/>
                <w:color w:val="auto"/>
                <w:sz w:val="24"/>
                <w:szCs w:val="24"/>
                <w:lang w:val="en-US" w:eastAsia="zh-CN"/>
              </w:rPr>
              <w:t>认证的，得</w:t>
            </w:r>
            <w:r>
              <w:rPr>
                <w:rFonts w:hint="eastAsia"/>
                <w:color w:val="auto"/>
                <w:sz w:val="24"/>
                <w:szCs w:val="24"/>
                <w:lang w:val="en-US" w:eastAsia="zh-CN"/>
              </w:rPr>
              <w:t>1</w:t>
            </w:r>
            <w:r>
              <w:rPr>
                <w:rFonts w:hint="default"/>
                <w:color w:val="auto"/>
                <w:sz w:val="24"/>
                <w:szCs w:val="24"/>
                <w:lang w:val="en-US" w:eastAsia="zh-CN"/>
              </w:rPr>
              <w:t>分；</w:t>
            </w:r>
          </w:p>
          <w:p w14:paraId="49E74FF5">
            <w:pPr>
              <w:bidi w:val="0"/>
              <w:rPr>
                <w:rFonts w:hint="default"/>
                <w:sz w:val="24"/>
                <w:szCs w:val="24"/>
                <w:lang w:val="en-US"/>
              </w:rPr>
            </w:pPr>
            <w:r>
              <w:rPr>
                <w:rFonts w:hint="eastAsia"/>
                <w:color w:val="auto"/>
                <w:sz w:val="24"/>
                <w:szCs w:val="24"/>
                <w:lang w:val="en-US" w:eastAsia="zh-CN"/>
              </w:rPr>
              <w:t>供应商具有有效期内的GB/T 27922商品售后服务评价体系认证的，得1分。</w:t>
            </w:r>
          </w:p>
        </w:tc>
      </w:tr>
    </w:tbl>
    <w:p w14:paraId="42205823">
      <w:pPr>
        <w:pStyle w:val="2"/>
      </w:pPr>
    </w:p>
    <w:sectPr>
      <w:pgSz w:w="11906" w:h="16838"/>
      <w:pgMar w:top="1440" w:right="126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75E67A"/>
    <w:multiLevelType w:val="singleLevel"/>
    <w:tmpl w:val="BF75E67A"/>
    <w:lvl w:ilvl="0" w:tentative="0">
      <w:start w:val="1"/>
      <w:numFmt w:val="decimal"/>
      <w:lvlText w:val="%1."/>
      <w:lvlJc w:val="left"/>
      <w:pPr>
        <w:tabs>
          <w:tab w:val="left" w:pos="312"/>
        </w:tabs>
        <w:ind w:left="120" w:leftChars="0" w:firstLine="0" w:firstLineChars="0"/>
      </w:pPr>
    </w:lvl>
  </w:abstractNum>
  <w:abstractNum w:abstractNumId="1">
    <w:nsid w:val="F21E27DA"/>
    <w:multiLevelType w:val="singleLevel"/>
    <w:tmpl w:val="F21E27DA"/>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422603"/>
    <w:rsid w:val="005D4603"/>
    <w:rsid w:val="011E7841"/>
    <w:rsid w:val="036B4BAC"/>
    <w:rsid w:val="037759DB"/>
    <w:rsid w:val="04003C23"/>
    <w:rsid w:val="04D72BD5"/>
    <w:rsid w:val="04FA4B16"/>
    <w:rsid w:val="054B35C3"/>
    <w:rsid w:val="056B77C2"/>
    <w:rsid w:val="0A622F41"/>
    <w:rsid w:val="0B0B182B"/>
    <w:rsid w:val="0B185CF6"/>
    <w:rsid w:val="0B9D61FB"/>
    <w:rsid w:val="0C45201C"/>
    <w:rsid w:val="0C8F023A"/>
    <w:rsid w:val="0CFA3905"/>
    <w:rsid w:val="0D86163D"/>
    <w:rsid w:val="0E146C48"/>
    <w:rsid w:val="0F334030"/>
    <w:rsid w:val="10A73DA4"/>
    <w:rsid w:val="135844D8"/>
    <w:rsid w:val="1520577D"/>
    <w:rsid w:val="165E3157"/>
    <w:rsid w:val="16A62408"/>
    <w:rsid w:val="16C46D32"/>
    <w:rsid w:val="17AE49E6"/>
    <w:rsid w:val="17B9616B"/>
    <w:rsid w:val="183F48C2"/>
    <w:rsid w:val="1C2564C4"/>
    <w:rsid w:val="1DE416A6"/>
    <w:rsid w:val="1F066139"/>
    <w:rsid w:val="1F6D7F66"/>
    <w:rsid w:val="2096173F"/>
    <w:rsid w:val="227829BF"/>
    <w:rsid w:val="235C6C70"/>
    <w:rsid w:val="23DA1943"/>
    <w:rsid w:val="254A0D4A"/>
    <w:rsid w:val="265C6F87"/>
    <w:rsid w:val="2A5D507B"/>
    <w:rsid w:val="2B6F5066"/>
    <w:rsid w:val="2B9F53F9"/>
    <w:rsid w:val="2CDC672B"/>
    <w:rsid w:val="2E2C723F"/>
    <w:rsid w:val="2EEB70FA"/>
    <w:rsid w:val="2FB15C4D"/>
    <w:rsid w:val="31F84007"/>
    <w:rsid w:val="321C3218"/>
    <w:rsid w:val="32B141B6"/>
    <w:rsid w:val="349124F1"/>
    <w:rsid w:val="349904D4"/>
    <w:rsid w:val="359E6C74"/>
    <w:rsid w:val="35DE52C2"/>
    <w:rsid w:val="364610BA"/>
    <w:rsid w:val="36545584"/>
    <w:rsid w:val="37797999"/>
    <w:rsid w:val="37CD55EE"/>
    <w:rsid w:val="388C54AA"/>
    <w:rsid w:val="3AF86E26"/>
    <w:rsid w:val="3BC608D8"/>
    <w:rsid w:val="3C4340D1"/>
    <w:rsid w:val="3CEC4769"/>
    <w:rsid w:val="3D597924"/>
    <w:rsid w:val="3E261EFC"/>
    <w:rsid w:val="3F36616F"/>
    <w:rsid w:val="3FDF2363"/>
    <w:rsid w:val="42852895"/>
    <w:rsid w:val="44290DA3"/>
    <w:rsid w:val="44BC7116"/>
    <w:rsid w:val="47855EE6"/>
    <w:rsid w:val="49F96717"/>
    <w:rsid w:val="4A2F2139"/>
    <w:rsid w:val="4AA246B9"/>
    <w:rsid w:val="4ACB00B3"/>
    <w:rsid w:val="4C516396"/>
    <w:rsid w:val="4E661EA1"/>
    <w:rsid w:val="50B74C36"/>
    <w:rsid w:val="50D14BB5"/>
    <w:rsid w:val="51BF3DA2"/>
    <w:rsid w:val="53204D14"/>
    <w:rsid w:val="535624E4"/>
    <w:rsid w:val="54A635B6"/>
    <w:rsid w:val="556709D9"/>
    <w:rsid w:val="56422603"/>
    <w:rsid w:val="56B714EC"/>
    <w:rsid w:val="577E46FF"/>
    <w:rsid w:val="5A144EA7"/>
    <w:rsid w:val="5AAD6431"/>
    <w:rsid w:val="5D6011A3"/>
    <w:rsid w:val="5D891708"/>
    <w:rsid w:val="5DEC23C3"/>
    <w:rsid w:val="5FB52C88"/>
    <w:rsid w:val="62DD677E"/>
    <w:rsid w:val="632C5010"/>
    <w:rsid w:val="63D11CD0"/>
    <w:rsid w:val="64A07A63"/>
    <w:rsid w:val="65530F79"/>
    <w:rsid w:val="67002A3B"/>
    <w:rsid w:val="675D60DF"/>
    <w:rsid w:val="675D7E8D"/>
    <w:rsid w:val="68476448"/>
    <w:rsid w:val="6B1765A5"/>
    <w:rsid w:val="6BF80185"/>
    <w:rsid w:val="6C3C0A4D"/>
    <w:rsid w:val="6C983716"/>
    <w:rsid w:val="6D284A9A"/>
    <w:rsid w:val="6D396CA7"/>
    <w:rsid w:val="6D9248D0"/>
    <w:rsid w:val="6EBD7464"/>
    <w:rsid w:val="6EC72090"/>
    <w:rsid w:val="6F460A9E"/>
    <w:rsid w:val="7130216F"/>
    <w:rsid w:val="719B1CDE"/>
    <w:rsid w:val="71B7463E"/>
    <w:rsid w:val="73685BF0"/>
    <w:rsid w:val="75A66EA3"/>
    <w:rsid w:val="75CD2682"/>
    <w:rsid w:val="7608190C"/>
    <w:rsid w:val="76DE441B"/>
    <w:rsid w:val="7BF070CA"/>
    <w:rsid w:val="7DB83C18"/>
    <w:rsid w:val="7DFF696A"/>
    <w:rsid w:val="7EED169F"/>
    <w:rsid w:val="7FDF5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val="0"/>
      <w:keepLines w:val="0"/>
      <w:spacing w:before="260" w:beforeLines="0" w:beforeAutospacing="0" w:after="260" w:afterLines="0" w:afterAutospacing="0" w:line="413" w:lineRule="auto"/>
      <w:jc w:val="left"/>
      <w:outlineLvl w:val="1"/>
    </w:pPr>
    <w:rPr>
      <w:rFonts w:ascii="Arial" w:hAnsi="Arial" w:eastAsia="宋体" w:cs="Times New Roman"/>
      <w:b/>
      <w:sz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line="360" w:lineRule="auto"/>
    </w:pPr>
    <w:rPr>
      <w:color w:val="FF0000"/>
    </w:rPr>
  </w:style>
  <w:style w:type="paragraph" w:styleId="4">
    <w:name w:val="Subtitle"/>
    <w:basedOn w:val="1"/>
    <w:next w:val="1"/>
    <w:qFormat/>
    <w:uiPriority w:val="0"/>
    <w:rPr>
      <w:rFonts w:asciiTheme="majorHAnsi" w:hAnsiTheme="majorHAnsi" w:eastAsiaTheme="majorEastAsia" w:cstheme="majorBidi"/>
      <w:i/>
      <w:iCs/>
      <w:color w:val="4874CB" w:themeColor="accent1"/>
      <w:spacing w:val="15"/>
      <w:sz w:val="24"/>
      <w14:textFill>
        <w14:solidFill>
          <w14:schemeClr w14:val="accent1"/>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3202</Words>
  <Characters>3374</Characters>
  <Lines>0</Lines>
  <Paragraphs>0</Paragraphs>
  <TotalTime>91</TotalTime>
  <ScaleCrop>false</ScaleCrop>
  <LinksUpToDate>false</LinksUpToDate>
  <CharactersWithSpaces>3459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2025-09-12T01:20:00Z</dcterms:created>
  <dc:creator>李光伟</dc:creator>
  <cp:lastModifiedBy>娟子</cp:lastModifiedBy>
  <cp:lastPrinted>2025-09-24T09:01:00Z</cp:lastPrinted>
  <dcterms:modified xsi:type="dcterms:W3CDTF">2025-10-15T06:16:40Z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3CA6F93F653A42ADB5EE7FB2A78763BC_13</vt:lpwstr>
  </property>
  <property fmtid="{D5CDD505-2E9C-101B-9397-08002B2CF9AE}" pid="4" name="KSOTemplateDocerSaveRecord">
    <vt:lpwstr>eyJoZGlkIjoiMDIyZTA3Y2Q2ZDViNzgzOWJmNmFjYzQ5MDgwNzVmOWIiLCJ1c2VySWQiOiIxMDIwMzUxMzE0In0=</vt:lpwstr>
  </property>
</Properties>
</file>